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C1030918A003606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89,696,644,023.14份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报告期内，97318011七日年化收益率均值2.8288%。同期业绩比较基准如下：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2021-10-01至2021-12-31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0.8283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3.0530%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89,696,644,023.14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br/>
              <w:t xml:space="preserve">    李刚刚先生，清华大学工学学士、硕士，具有银行间本币市场交易员资格。2020年加入兴银理财从事理财产品投资组合管理工作，协助管理总规模逾千亿，善于大资金的资产配置和流动性管理。现担任“兴业银行现金宝-添利1号净值型理财产品”、“兴业银行金雪球添利快线净值型理财产品”、“兴银理财添利8号净值型理财产品”和“兴银理财日日新1号净值型理财产品”投资经理助理。</w:t>
            </w: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b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br/>
              <w:t xml:space="preserve">2、前期运作回顾</w:t>
              <w:br/>
              <w:t xml:space="preserve">    报告期内，本产品始终将保持流动性安全和防范信用风险作为第一要务，通过稳健的投资风格实现相对稳定的收益。根据我们对市场的预判，四季度收益率短暂回升是较好的资产配置时间窗口，我们积极把握市场高点的买入</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机会，品种上仍然维持以利率债、同业存单及高评级信用债为主，同时搭配存放同业、ABS等资产，保证产品流动性安全的同时兼顾组合收益，策略上以票息策略为主，杠杆及交易性策略为辅。由于本产品面向企业客户发行，年末赎回比例较大，我们通过正回购和卖出短期限资产，满足客户的赎回需求。</w:t>
              <w:br/>
              <w:t xml:space="preserve">3、后期投资策略</w:t>
              <w:br/>
              <w:t xml:space="preserve">    下阶段本产品依然会保持安全性和流动性优先、兼顾收益性的稳健投资策略，深入研究分析债券市场收益率的变化趋势，综合考量各投资品种的风险收益特征，在此基础上制定科学有效的投资策略。</w:t>
              <w:b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存放同业20211124002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存放同业20211227001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1,058,454,816.28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存放同业20210927001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117,722,000.00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19厦门银行03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17中节能MTN001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18烟台港MTN001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20浦银租赁债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21杭实投SCP004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21闽冶金SCP008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21屹腾1优先_bc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146,475,000.00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17南通经开GN002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19华融租赁债01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21乐清国投CP002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21南昌轨交GN003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21宜昌城控CP003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21汇理汽车债02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18江北产投MTN002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19物产中大MTN001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19西南水泥MTN001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20浙商资产PPN002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21拱墅国投SCP001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21楚天智能SCP004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21湖州城投SCP006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21福州城投SCP007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21苏州园林SCP005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21融和融资PPN001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19象屿ABN001优先B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21兴信易ABN002优先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21兴信易ABN003优先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21远东3号ABN001优先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21兴业租赁绿色债02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21万鑫建发ABN006优先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21前海招泰ABN004优先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9,258,880.00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