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3,662,639,884.68份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产品9K218071自起息日以来，累计净值增长率为12.3190%，年化累计净值增长率为5.9320%。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1.12319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1.12319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4,113,847,464.76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304,842,600.00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20建设银行二级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227,682,620.00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204,324,400.00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21附息国债17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201,969,600.00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200,483,600.00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1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20苏滨湖建设ZR001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厦门信托-三明交建信托贷款单一资金信托计划（三明市交通建设发展集团有限公司三明分行）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194,453,600.00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华金证券新锐60号券商收益凭证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粤财信托·肇庆国联项目单一资金信托（肇庆市国联投资控股有限公司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