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兴业银行天天万利宝稳利5号净值型理财产品N款</w:t>
              <w:br/>
              <w:t xml:space="preserve">2021年第四季度报告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报告送出日期：2022年1月24日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兴业银行天天万利宝稳利5号净值型理财产品N款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9K219056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C1030919001051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4,998,894,000份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4.50%-5.00%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jc w:val="left"/>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1800"/>
        </w:trPr>
        <w:tc>
          <w:tcPr>
     </w:tcPr>
          <w:p>
            <w:pPr>
              <w:pStyle w:val="EMPTY_CELL_STYLE"/>
            </w:pPr>
          </w:p>
        </w:tc>
        <w:tc>
          <w:tcPr>
            <w:gridSpan w:val="5"/>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tbl>
            <w:tblPr>
              <w:tblLayout w:type="fixed"/>
            </w:tblPr>
            <w:tblGrid>
              <w:gridCol w:w="3000"/>
              <w:gridCol w:w="3600"/>
              <w:gridCol w:w="4100"/>
            </w:tblGrid>
            <w:tr>
              <w:trPr>
                <w:trHeight w:hRule="exact" w:val="580"/>
              </w:trPr>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2980"/>
                    <w:gridCol w:w="20"/>
                  </w:tblGrid>
                  <w:tr>
                    <w:trPr>
                      <w:trHeight w:hRule="atLeast" w:val="580"/>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 xml:space="preserve">下属子产品的产品简称</w:t>
                        </w:r>
                      </w:p>
                    </w:tc>
                    <w:tc>
                      <w:tcPr>
     </w:tcPr>
                      <w:p>
                        <w:pPr>
                          <w:pStyle w:val="EMPTY_CELL_STYLE"/>
                        </w:pPr>
                      </w:p>
                    </w:tc>
                  </w:tr>
                </w:tbl>
                <w:p>
                  <w:pPr>
                    <w:pStyle w:val="EMPTY_CELL_STYLE"/>
                  </w:pPr>
                </w:p>
              </w:tc>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80"/>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 xml:space="preserve">下属子产品的产品代码</w:t>
                        </w:r>
                      </w:p>
                    </w:tc>
                  </w:tr>
                </w:tbl>
                <w:p>
                  <w:pPr>
                    <w:pStyle w:val="EMPTY_CELL_STYLE"/>
                  </w:pPr>
                </w:p>
              </w:tc>
              <w:tc>
                <w:tcPr>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80"/>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 xml:space="preserve">报告期末下属子产品的产品份额总数</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稳利增盈海峡优选5号A</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9K219156</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3,566,815,000.00</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稳利增盈海峡优选5号B</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9K219256</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1,432,079,000.00</w:t>
                        </w:r>
                      </w:p>
                    </w:tc>
                  </w:tr>
                </w:tbl>
                <w:p>
                  <w:pPr>
                    <w:pStyle w:val="EMPTY_CELL_STYLE"/>
                  </w:pPr>
                </w:p>
              </w:tc>
            </w:tr>
          </w:tbl>
          <w:p>
            <w:pPr>
              <w:pStyle w:val="EMPTY_CELL_STYLE"/>
            </w:pPr>
          </w:p>
        </w:tc>
        <w:tc>
          <w:tcPr>
     </w:tcPr>
          <w:p>
            <w:pPr>
              <w:pStyle w:val="EMPTY_CELL_STYLE"/>
            </w:pPr>
          </w:p>
        </w:tc>
      </w:tr>
      <w:tr>
        <w:trPr>
          <w:trHeight w:hRule="exact" w:val="1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2840"/>
        <w:gridCol w:w="460"/>
        <w:gridCol w:w="4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产品9K219156自起息日以来，累计净值增长率为8.2180%，年化累计净值增长率为4.9013%。</w:t>
              <w:br/>
              <w:t xml:space="preserve">产品9K219256自起息日以来，累计净值增长率为8.3050%，年化累计净值增长率为4.9531%。</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gridSpan w:val="6"/>
            <w:tcMar>
              <w:top w:w="0" w:type="dxa"/>
              <w:left w:w="0" w:type="dxa"/>
              <w:bottom w:w="0" w:type="dxa"/>
              <w:right w:w="0" w:type="dxa"/>
            </w:tcMar>
          </w:tcPr>
          <w:tbl>
            <w:tblPr>
              <w:tblLayout w:type="fixed"/>
            </w:tblPr>
            <w:tblGrid>
              <w:gridCol w:w="1800"/>
              <w:gridCol w:w="2000"/>
              <w:gridCol w:w="2400"/>
              <w:gridCol w:w="2200"/>
              <w:gridCol w:w="23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估值日期</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产品份额净值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产品累计净值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产品资产净值</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2021年12月31日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1.08243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1.08243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5,410,952,274.13</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9K219156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2021年12月31日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1.08218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1.08218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3,859,942,541.03</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9K219256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2021年12月31日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1.08305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1.08305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1,551,009,733.10</w:t>
                        </w:r>
                      </w:p>
                    </w:tc>
                  </w:tr>
                </w:tbl>
                <w:p>
                  <w:pPr>
                    <w:pStyle w:val="EMPTY_CELL_STYLE"/>
                  </w:pPr>
                </w:p>
              </w:tc>
            </w:tr>
          </w:tbl>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张宸先生，中山大学西方经济学硕士，8年资深投研经验，曾任职于广发银行股份有限公司、广发证券股份有限公司，2019年加入兴银理财有限责任公司，任固定收益投资部投资经理。投资经验丰富，产品业绩优秀，市场敏感度极强，擅长宏观基本面研究和信用价值挖掘，通过趋势判断和波段交易获取超额收益。</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6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一、市场观点</w:t>
              <w:br/>
              <w:t xml:space="preserve">    2021年8月监管机构对理财产品使用摊余成本法计量作出窗口指导，要求存量理财产品在10月底完成整改，信用债受此冲击自9月开始下跌，加上9月PPI刷新近年来高位刷新纪录、央行官员提及十年国债处于偏低位置，市场降准预期明显减弱，利率债在四季度初开始加速下跌，10年国债收益率自四季度初的2.87%大幅上行至3.05%一线，信用债收益率普遍从8月底低位上行20-40bp。随后央行行长易纲表示PPI将在年内走低，经济高频数据显示经济下行压力加大以及宽松资金面的助推下，市场收益率重回下行通道，四季度经济数据持续走弱，总理重提六稳，政策放松预期再起，债券市场再度进入牛市，收益率水平一路下行至年内低位，收益率曲线结构方面，四季度资金价格平稳，R007围绕OMO利率2.2%的中枢波动，在经济预期走弱的带动下，收益率曲线出现牛平走势。</w:t>
              <w:br/>
              <w:t xml:space="preserve">    展望明年一季度，对于债券市场，我们整体保持中性略偏乐观的态度。刚刚结束的中央经济工作会议提出当前经济面临“需求收缩、供给冲击、预期转弱”三重压力。在防疫措施与居民收入增速放缓的背景下，消费仍难快速恢复，出口在替代效应减弱以及高基数的影响下对经济拉动作用将减弱，房地产产业链压力不减，政策重心在明年一季度仍将是稳增长。政策基调仍可能是宽货币、宽信用，历史上双宽政策周期中债券表现强的概率较高。考虑到明年一季度美联储加息可能性不高，国内货币政策仍处于宽松窗口，我们认为债券市场仍有参与机会。</w:t>
              <w:br/>
              <w:t xml:space="preserve">    二、运作回顾</w:t>
              <w:br/>
              <w:t xml:space="preserve">    2021年四季度，债券市场先上后下。考虑到经济基本面下行压力增大，房地产产业链压力不断增大，我们在四季度初收益率上行阶段判断此次市场调整空间有限，因而在10月、11月保持了杠杆操作，并稳步增配高性价比券种，抓住了高等级中长久期债券、利率债和存单的行情，赚取了稳定票息收益的同时，资本利得方面亦有收获。</w:t>
              <w:br/>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164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三、展望投资策略</w:t>
              <w:br/>
              <w:t xml:space="preserve">    展望一季度，产品将继续保持稳健的投资风格。1、发挥票息策略优势，同时维持中性偏积极的杠杆水平与中性偏积极的组合久期。2、把握住利率反弹时的配置机会。3、关注货币政策可能再次宽松的交易机会。</w:t>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8.04</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0.07</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53.32</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公募基金</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0.12</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38.45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38.45</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委外投资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6.97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报告期末本产品总资产未超过该产品净资产规模的200%，符合产品协议对本产品杠杆比例的要求。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2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740"/>
        </w:trPr>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资产规模</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[光信·光鑫·武建1号]单一资金信托</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9.24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新华资产-明鑫一号资产管理产品</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426,169,815.07</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7.88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华润信托-嬴通122号单一资金信托（南京分行 江宁城建）</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5.54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华润信托-嬴通120号单一资金信托（南京分行 江宁经开）</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5.54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20闽海沧投资ZR001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华润信托-嬴通121号单一资金信托（南京分行 江宁经开）</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华润信托-嬴通123号单一资金信托（南京分行 泰州城投）</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3.70</w:t>
                        </w:r>
                      </w:p>
                    </w:tc>
                  </w:tr>
                </w:tbl>
                <w:p>
                  <w:pPr>
                    <w:pStyle w:val="EMPTY_CELL_STYLE"/>
                  </w:pPr>
                </w:p>
              </w:tc>
            </w:tr>
            <w:tr>
              <w:trPr>
                <w:trHeight w:hRule="exact" w:val="6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7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【光信？光鑫？星辰34号】单一资金信托-潍坊市城市建设发展投资集团有限公司信托贷款（济南分行）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云南信托-智兴2020-708号即墨旅投单一资金信托（青岛分行）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3.33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21申证03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102,002,100.00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1.89</w:t>
                        </w:r>
                      </w:p>
                    </w:tc>
                  </w:tr>
                </w:tbl>
                <w:p>
                  <w:pPr>
                    <w:pStyle w:val="EMPTY_CELL_STYLE"/>
                  </w:pPr>
                </w:p>
              </w:tc>
            </w:tr>
          </w:tbl>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21丹投CP002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21光明MTN004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21湘投SCP003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21兴化城投CP001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21镇江交通CP001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19江东控股MTN001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19溧水经开PPN003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20盐城资产MTN001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21兴城投资MTN002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21海鸿投资MTN001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21滁州同创MTN001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21青岛城投MTN004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20厦门国贸ABN002优先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20金泰国贸ABN001优先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051010100100875233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兴业理财托管专户天天万利宝稳利5号净值型N款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2022年1月24日</w:t>
            </w:r>
          </w:p>
        </w:tc>
        <w:tc>
          <w:tcPr>
     </w:tcPr>
          <w:p>
            <w:pPr>
              <w:pStyle w:val="EMPTY_CELL_STYLE"/>
            </w:pPr>
          </w:p>
        </w:tc>
        <w:tc>
          <w:tcPr>
     </w:tcPr>
          <w:p>
            <w:pPr>
              <w:pStyle w:val="EMPTY_CELL_STYLE"/>
            </w:pPr>
          </w:p>
        </w:tc>
      </w:tr>
      <w:tr>
        <w:trPr>
          <w:trHeight w:hRule="exact" w:val="4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