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兴业银行天天万利宝稳利5号净值型理财产品O款2021年第四季度报告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兴业银行天天万利宝稳利5号净值型理财产品O款</w:t>
              <w:br/>
              <w:t xml:space="preserve">2021年第四季度报告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报告送出日期：2022年1月24日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兴业银行天天万利宝稳利5号净值型理财产品O款2021年第四季度报告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兴业银行天天万利宝稳利5号净值型理财产品O款2021年第四季度报告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兴业银行天天万利宝稳利5号净值型理财产品O款</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9K219057</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Z7002020000072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6,005,046,000份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4.00%-6.00%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下属子产品的产品简称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下属子产品的产品代码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报告期末下属子产品的产品份额总数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稳利增盈优选6号A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9K219157</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5,172,919,000.00</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稳利增盈优选6号B(私行专属，名单制销售)</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9K219257</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832,127,000.00</w:t>
                        </w:r>
                      </w:p>
                    </w:tc>
                  </w:tr>
                </w:tbl>
                <w:p>
                  <w:pPr>
                    <w:pStyle w:val="EMPTY_CELL_STYLE"/>
                  </w:pPr>
                </w:p>
              </w:tc>
            </w:tr>
          </w:tbl>
          <w:p>
            <w:pPr>
              <w:pStyle w:val="EMPTY_CELL_STYLE"/>
            </w:pPr>
          </w:p>
        </w:tc>
        <w:tc>
          <w:tcPr>
     </w:tcPr>
          <w:p>
            <w:pPr>
              <w:pStyle w:val="EMPTY_CELL_STYLE"/>
            </w:pPr>
          </w:p>
        </w:tc>
      </w:tr>
      <w:tr>
        <w:trPr>
          <w:trHeight w:hRule="exact" w:val="16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兴业银行天天万利宝稳利5号净值型理财产品O款2021年第四季度报告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产品9K219157自起息日以来，累计净值增长率为10.6740%，年化累计净值增长率为6.6942%。</w:t>
              <w:br/>
              <w:t xml:space="preserve">产品9K219257自起息日以来，累计净值增长率为10.8430%，年化累计净值增长率为6.8002%。</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9K219057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1.10698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1.10698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6,647,443,884.33</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9K219157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1.10674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1.10674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5,725,091,517.73</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9K219257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1.10843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1.10843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922,352,366.60</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张宸先生，中山大学西方经济学硕士，8年资深投研经验，曾任职于广发银行股份有限公司、广发证券股份有限公司，2019年加入兴银理财有限责任公司，任固定收益投资部投资经理。投资经验丰富，产品业绩优秀，市场敏感度极强，擅长宏观基本面研究和信用价值挖掘，通过趋势判断和波段交易获取超额收益。</w:t>
              <w:br/>
              <w:t xml:space="preserve">    董国明先生，中国科学院研究生院理学硕士，2013年加入兴业银行，金融从业12年，曾在光大银行等机构任投资经理，现任资产管理事业部权益投资团队主管。</w:t>
              <w:br/>
              <w:t xml:space="preserve">    许娟娟，复旦大学金融学硕士，华东师范大学软件工程硕士。2020年12月加入兴银理财，2019-2020年国泰君安创新投研究部总经理投委会成员，2017-2018年国泰君安创新投(资本公司)投资副总监，2016年国泰君安研究所新兴产业研究中心负责人，2012-2016年国泰君安研究所所长助理研究。2007-2016年历任商贸零售/食品饮料/社会服务研究员，消费组组长，食品饮料和社会服务领域曾获新财富最佳分析师2012-2014年第一名，2015-2016年第二名，2010年第五名。曾获2014年国泰君安证券优秀员工，2019年国泰君安创新投优秀员工。</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3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一、市场观点</w:t>
              <w:br/>
              <w:t xml:space="preserve">    2021年8月监管机构对理财产品使用摊余成本法计量作出窗口指导，要求存量理财产品在10月底完成整改，信用债受此冲击自9月开始下跌，加上9月PPI刷新近年来高位刷新纪录、央行官员提及十年国债处于偏低位置，市场降准预期明显减弱，利率债在四季度初开始加速下跌，10年国债收益率自四季度初的2.87%大幅上行至3.05%一线，信用债收益率普遍从8月底低位上行20-40bp。随后央行行长易纲表示PPI将在年内走低，经济高频数据显示经济下行压力加大以及宽松资金面的助推下，市场收益率重回下行通道，四季度经济数据持续走弱，总理重提六稳，政策放松预期再起，债券市场再度进入牛市，收益率水平一路下行至年内低位，收益率曲线结构方面，四季度资金价格平稳，R007围绕OMO利率2.2%的中枢波动，在经济预期走弱的带动下，收益率曲线出现牛平走势。</w:t>
              <w:br/>
              <w:t xml:space="preserve">    权益方面，2022上半年：财政积极且前置，货币配套稳中偏松，利率平稳且曲线有可能陡峭化，叠加二季度利润增速压力最大，判断上半年风格偏大盘蓝筹。2022 下半年：财政发力趋弱，外部环境剧烈变化，货币配套偏稳，</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兴业银行天天万利宝稳利5号净值型理财产品O款2021年第四季度报告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96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利率曲线上行压力变大，盈利增速缓慢修复，判断风格将再度回归均衡，偏消费+小盘成长。</w:t>
              <w:br/>
              <w:t xml:space="preserve">    与宏观经济周期相关性较低、政策独立性较强以及技术驱动的板块，依旧看好，如双碳、汽车智能化等。</w:t>
              <w:br/>
              <w:t xml:space="preserve">    展望明年一季度，对于债券市场，我们整体保持中性略偏乐观的态度。刚刚结束的中央经济工作会议提出当前经济面临“需求收缩、供给冲击、预期转弱”三重压力。在防疫措施与居民收入增速放缓的背景下，消费仍难快速恢复，出口在替代效应减弱以及高基数的影响下对经济拉动作用将减弱，房地产产业链压力不减，政策重心在明年一季度仍将是稳增长。政策基调仍可能是宽货币、宽信用，历史上双宽政策周期中债券表现强的概率较高。考虑到明年一季度美联储加息可能性不高，国内货币政策仍处于宽松窗口，我们认为债券市场仍有参与机会。</w:t>
              <w:br/>
              <w:t xml:space="preserve">    二、运作回顾</w:t>
              <w:br/>
              <w:t xml:space="preserve">    2021年四季度，债券市场先上后下。考虑到经济基本面下行压力增大，房地产产业链压力不断增大，我们在四季度初收益率上行阶段判断此次市场调整空间有限，因而在10月、11月保持了杠杆操作，并稳步增配高性价比券种，抓住了高等级中长久期债券、利率债和存单的行情，赚取了稳定票息收益的同时，资本利得方面亦有收获。</w:t>
              <w:br/>
              <w:t xml:space="preserve">    三、展望投资策略</w:t>
              <w:br/>
              <w:t xml:space="preserve">    展望一季度，产品将继续保持稳健的投资风格。1、发挥票息策略优势，同时维持中性偏积极的杠杆水平与中性偏积极的组合久期。2、把握住利率反弹时的配置机会。3、关注货币政策可能再次宽松的交易机会。</w:t>
              <w:br/>
              <w:t xml:space="preserve">    预计2022年经济压力仍大，供给端工业生产将恢复正常水平；需求端，出口大概率回落，但仍有韧性，制造业投资韧性仍强，基建投资将有所发力，地产投资将继续下滑，但“循环”修复政策不会失速，消费趋于改善，但幅度有限。财政整体定调积极，节奏前置托底经济；货币政策或稳中偏松 。产业政策或将围绕双碳、共同富裕 、稳增长等主题。</w:t>
              <w:br/>
              <w:t xml:space="preserve">    结合中央经济工作会议对明年经济“稳”要求以及对财政、货币的新表述，展望2022年的A股市场，我们认为政策变化将成为市场的主导。</w:t>
              <w:br/>
              <w:t xml:space="preserve">    22年随着居民消费支出意继续弱化，疫情后出口增速大概率将回落，预计流动性将维持宽松，政策环境维稳，新旧基建和制造业拖底经济，中国经济中枢稳步回落。国际方面中美科技军备竞赛将呈常态化。预计22年将有更多的支持新能源投资、科技创新、促进消费方面的政策出台。我们认为科技创新和新消费仍将是为数不多的、能够保持较快增长的行业。在新消费领域，将围绕疫情后的服务消费恢复、必选消费品成本的周期性下降带来的盈利能力修复以及科技对生活品质的提升展开投资。在科技创新领域，将围绕IOT、新能源、智能汽车、制造业升级领域的软件自主可控、电子设备国产化寻找投资机会。个股方面，将在增速较快的细分领域中，寻找竞争壁垒较高、商业模式清晰，公司治理较好的标的。经过20、21年的充分挖掘，高景气度赛道均面临估值较高、机构持仓较为集中的情况，投资时机方面将更加注重个股估值和业绩增长的匹配度，在较低的位置买入赚取合理的收益。</w:t>
              <w:br/>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3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兴业银行天天万利宝稳利5号净值型理财产品O款2021年第四季度报告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36.27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36.27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14.62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14.62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40.98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40.98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31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21农业银行CD101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370,260,980.00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Z京-同业借款20210616002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4.51</w:t>
                        </w:r>
                      </w:p>
                    </w:tc>
                  </w:tr>
                </w:tbl>
                <w:p>
                  <w:pPr>
                    <w:pStyle w:val="EMPTY_CELL_STYLE"/>
                  </w:pPr>
                </w:p>
              </w:tc>
            </w:tr>
            <w:tr>
              <w:trPr>
                <w:trHeight w:hRule="exact" w:val="6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7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光大信托-光信？光鑫？湘江1号单一资金信托（湖南湘江新区发展集团有限公司-长沙分行）</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华润信托-诸暨市国有资产经营有限公司（杭州分行）</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4.51</w:t>
                        </w:r>
                      </w:p>
                    </w:tc>
                  </w:tr>
                </w:tbl>
                <w:p>
                  <w:pPr>
                    <w:pStyle w:val="EMPTY_CELL_STYLE"/>
                  </w:pPr>
                </w:p>
              </w:tc>
            </w:tr>
          </w:tbl>
          <w:p>
            <w:pPr>
              <w:pStyle w:val="EMPTY_CELL_STYLE"/>
            </w:pPr>
          </w:p>
        </w:tc>
        <w:tc>
          <w:tcPr>
     </w:tcPr>
          <w:p>
            <w:pPr>
              <w:pStyle w:val="EMPTY_CELL_STYLE"/>
            </w:pPr>
          </w:p>
        </w:tc>
      </w:tr>
      <w:tr>
        <w:trPr>
          <w:trHeight w:hRule="exact" w:val="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兴业银行天天万利宝稳利5号净值型理财产品O款2021年第四季度报告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7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云南信托-2020赢智17号单一资金信托（太原分行 龙投）</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华润信托·润兴123号-南昌水利投资发展有限公司（南昌分行）</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4.51</w:t>
                        </w:r>
                      </w:p>
                    </w:tc>
                  </w:tr>
                </w:tbl>
                <w:p>
                  <w:pPr>
                    <w:pStyle w:val="EMPTY_CELL_STYLE"/>
                  </w:pPr>
                </w:p>
              </w:tc>
            </w:tr>
            <w:tr>
              <w:trPr>
                <w:trHeight w:hRule="exact" w:val="6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7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光大信托-光信.光鑫.渝中1号单一资金信托（重庆分行-重庆渝中国有资产经营管理有限公司）</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20苏连云港城建ZR001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华润信托·润兴122号-南昌水利投资发展有限公司（南昌分行）</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20苏徐州交控ZR002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3.01</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42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9K219057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21华数MTN001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9K219057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21杭金投MTN002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9K219057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18越秀金融MTN001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9K219057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21保利发展MTN002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9K219057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21常德城投PPN001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9K219057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21江北公用MTN003(可持续挂钩)</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兴业银行天天万利宝稳利5号净值型理财产品O款2021年第四季度报告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051010100100875355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兴业理财托管专户天天万利宝稳利5号净值型O款</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2022年1月24日</w:t>
            </w:r>
          </w:p>
        </w:tc>
        <w:tc>
          <w:tcPr>
     </w:tcPr>
          <w:p>
            <w:pPr>
              <w:pStyle w:val="EMPTY_CELL_STYLE"/>
            </w:pPr>
          </w:p>
        </w:tc>
        <w:tc>
          <w:tcPr>
     </w:tcPr>
          <w:p>
            <w:pPr>
              <w:pStyle w:val="EMPTY_CELL_STYLE"/>
            </w:pPr>
          </w:p>
        </w:tc>
      </w:tr>
      <w:tr>
        <w:trPr>
          <w:trHeight w:hRule="exact" w:val="11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