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8,422,394,664.61份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产品9K219063自起息日以来，累计净值增长率为12.2650%，年化累计净值增长率为6.7218%。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1.05265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1.12265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8,865,833,623.57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兴业银行资产管理部固定收益处，2019年入职兴银理财有限责任公司，现任固定收益投资经理。投资理念追求收益性和安全性兼顾，获得持续稳定回报，擅长方向通过信用研究和挖掘获取超额收益，并通过利差变化寻求交易性机会。</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股票方面，四季度股票市场呈现震荡格局，10-11月高层对拉闸限电进行纠偏，周期股出现剧烈调整，消费中较大范围个股纷纷上调价格，呈现一定反弹格局。期间景气度较好的电气设备、军工、电子表现较佳。市场进入12月后，随着中央经济工作会议的召开，稳增长预期加码，降准落地后，以价值股为代表的沪深300指数表现较强，而前期较为强势的景气赛道行业则呈现一定幅度调整。权益方面以均衡为主，景气趋势部分以新型电网、绿电运营、汽车零部件为主，左侧布局预期明年基本面改善的家电、电子、计算机，各一级行业或投资线索下偏好所处行业供给格局较佳的龙头优势标的。</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股票方面，展望2022年，上市公司盈利增速预计偏冷，但稳增长的政策预计会加码，对资本市场相对友好。预计指数层面仍呈震荡格局，股票市场出现系统性风险的可能性较低，结构性机会仍然会较多。重点看好双碳目标下相关受益标的、受益于稳增长政策的相关行业、疫情得到控制下受益于消费场景恢复的相关子行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776,640,800.00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291,687,900.00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249,888,000.00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194,233,800.00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194,233,800.00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