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兴银理财睿盈优选平衡5号混合类净值型理财产品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兴银理财睿盈优选平衡5号混合类净值型理财产品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Z7002020000094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9,325,849,950.77份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34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产品9K220005自起息日以来，累计净值增长率为8.2660%，年化累计净值增长率为5.4757%。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1.06266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1.08266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9,910,208,291.88</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r>
              <w:rPr>
                <w:rFonts w:ascii="宋体" w:hAnsi="宋体" w:eastAsia="宋体" w:cs="宋体"/>
                <w:color w:val="000000"/>
                <w:sz w:val="21"/>
              </w:rPr>
              <w:br w:type="textWrapping"/>
            </w: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r>
              <w:rPr>
                <w:rFonts w:ascii="宋体" w:hAnsi="宋体" w:eastAsia="宋体" w:cs="宋体"/>
                <w:color w:val="000000"/>
                <w:sz w:val="21"/>
              </w:rPr>
              <w:br w:type="textWrapping"/>
            </w:r>
            <w:r>
              <w:rPr>
                <w:rFonts w:ascii="宋体" w:hAnsi="宋体" w:eastAsia="宋体" w:cs="宋体"/>
                <w:color w:val="000000"/>
                <w:sz w:val="21"/>
              </w:rP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5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权益方面，2022上半年，财政积极且前置，货币政策稳中偏松，利率平稳且曲线有可能陡峭化，叠加二季度利润增速压力最大，判断上半年风格偏大盘蓝筹。2022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依旧看好与宏观经济周期相关性较低、政策独立性较强以及技术驱动的板块，如双碳、汽车智能化等。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股票方面，四季度股票市场呈现震荡格局，10-11月高层对拉闸限电进行纠偏，周期股出现剧烈调整，消费中较大范围个股纷纷上调价格，呈现一定反弹格局。期间景气度较好的电气设备、军工、电子表现较佳。市场进入12月后，随着中央经济工作会议的召开，稳增长预期加码，降准落地后，以价值股为代表的沪深300指数表现较强，而前期较为强势的景气赛道行业则呈现一定幅度调整。权益资产以均衡为主，景气趋势部分以新型电网、绿电运营、</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汽</w:t>
            </w:r>
            <w:bookmarkStart w:id="7" w:name="_GoBack"/>
            <w:bookmarkEnd w:id="7"/>
            <w:r>
              <w:rPr>
                <w:rFonts w:ascii="宋体" w:hAnsi="宋体" w:eastAsia="宋体" w:cs="宋体"/>
                <w:color w:val="000000"/>
                <w:sz w:val="21"/>
              </w:rPr>
              <w:t>车零部件为主，左侧布局预期明年基本面改善的家电、电子、计算机，各一级行业或投资线索下偏好所处行业供给格局较佳的龙头优势标的。</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展望2022年，上市公司盈利增速预计偏冷，但稳增长的政策预计会加码，对资本市场相对友好。预计指数层面仍呈震荡格局，股票市场出现系统性风险的可能性较低，结构性机会仍然会较多。重点看好双碳目标下相关受益标的、受益于稳增长政策的相关行业、疫情得到控制下受益于消费场景恢复的相关子行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Z深-同业借款20210812001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Z深-同业借款20210812003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Z深-同业借款20210812002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Z深-同业借款20210816001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21农业银行CD105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370,284,540.00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300,928,885.34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21浦发银行CD190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291,978,900.00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251,578,750.00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21农发清发100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250,239,500.00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21申证03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204,004,200.00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2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兴银理财睿盈优选平衡5号混合类净值型理财产品2021年第四季度报告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20鲁黄金MTN004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051010100101033960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兴银理财睿盈优选平衡5号混合类净值型理财产品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2D1A7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2022-01-20T07:37:42Z</dcterms:created>
  <dc:creator>cib</dc:creator>
  <cp:lastModifiedBy>cib</cp:lastModifiedBy>
  <dcterms:modified xsi:type="dcterms:W3CDTF">2022-01-20T07:38:02Z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