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兴银理财增盈优选20号净值型理财产品2021年第四季度报告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兴银理财增盈优选20号净值型理财产品</w:t>
            </w:r>
            <w:r>
              <w:rPr>
                <w:rFonts w:ascii="宋体" w:hAnsi="宋体" w:eastAsia="宋体" w:cs="宋体"/>
                <w:b/>
                <w:color w:val="000000"/>
                <w:sz w:val="32"/>
              </w:rPr>
              <w:br w:type="textWrapping"/>
            </w:r>
            <w:r>
              <w:rPr>
                <w:rFonts w:ascii="宋体" w:hAnsi="宋体" w:eastAsia="宋体" w:cs="宋体"/>
                <w:b/>
                <w:color w:val="000000"/>
                <w:sz w:val="32"/>
              </w:rPr>
              <w:t>2021年第四季度报告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报告送出日期：2022年1月24日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兴银理财增盈优选20号净值型理财产品2021年第四季度报告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兴银理财增盈优选20号净值型理财产品2021年第四季度报告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兴银理财增盈优选20号净值型理财产品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9K220020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Z7002021000088</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601,000,000.00份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4.50%-7.00%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34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兴银理财增盈优选20号净值型理财产品2021年第四季度报告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产品9K220020自起息日以来，累计净值增长率为3.3400%，年化累计净值增长率为4.8960%。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1.03340</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1.03340</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621,074,147.55</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2021年，国内经济前高后低，呈现逐步走弱的变化。进出口增速仍是今年经济的最大推动力，全年6的GDP目标过低，使得部分时点出现了收紧的政策。大宗商品价格暴涨，PPI全年高位，仅在4季度有所回落。货币政策整体还是较为宽松的，并在7月，12月两次进行降准。债市方面，由于财政后置，债市配置资金整体充裕，全年处于缺资产欠配的节奏中，收益率整体下行。但年中恒大暴雷后，对地产不但没有松绑，反而在预售资金监管等方面收紧，导致风险蔓延，所有民营地产均不乐观。股市方面，去年仍是结构性行情，虽然春节后半导体，新能源有较大幅度调整，但二季度后仍是新能源板块成为市场的焦点。另外伴随PPI的上涨，煤飞色舞，海运等相关产业都有较大幅度的上涨。报告期内，本产品维持债券3年左右高收益的配置，权益配置了食品新能源等基金仓位，获得了较好的回报。</w:t>
            </w:r>
            <w:r>
              <w:rPr>
                <w:rFonts w:ascii="宋体" w:hAnsi="宋体" w:eastAsia="宋体" w:cs="宋体"/>
                <w:color w:val="000000"/>
                <w:sz w:val="21"/>
              </w:rPr>
              <w:br w:type="textWrapping"/>
            </w:r>
            <w:r>
              <w:rPr>
                <w:rFonts w:ascii="宋体" w:hAnsi="宋体" w:eastAsia="宋体" w:cs="宋体"/>
                <w:color w:val="000000"/>
                <w:sz w:val="21"/>
              </w:rPr>
              <w:t xml:space="preserve">    展望2022年，经济面临进一步下滑，能否企稳要看宽信用的程度和执行情况。政策方面，为托底经济，将继续维持较为宽松的货币政策，继续降准降息的预期强烈。债市方面，一季度维持牛市概率较大，但之后随着宽信用的推进，利率有调整的可能，配置上需要降低久期。信用上随着民营房地产企业普遍遭遇困境，土地出让低迷，更要关注信用风险，适当降低城投的下沉。权益方面，市场风格有切换的可能，选对行业比降低仓位更有效。对大市值，估值相对较低的品种，特别是食品，养殖，家电等传统白马更乐观一些。接下来的投资，债券和权益都需要更谨慎一些，债券方面注意信用风险，维持中等的久期与杠杆，权益方面投资偏重传统白马蓝筹。</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bookmarkStart w:id="6" w:name="_GoBack"/>
            <w:bookmarkEnd w:id="6"/>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兴银理财增盈优选20号净值型理财产品2021年第四季度报告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3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7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中原财富-成长653期-象屿股份债权投资一号集合资金信托计划（厦门象屿股份有限公司 厦门分行）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31,066,688.68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21浙兴合MTN002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23,217,902.00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21吴中交投PPN001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20,358,800.00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21东南资产MTN001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20,259,140.00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21东方国际MTN001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20,243,900.00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兴银理财增盈优选20号净值型理财产品2021年第四季度报告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21可克达拉MTN001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20,133,900.00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20,080,200.00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20青岛军民MTN002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20,056,460.00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20,000,130.00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21可克达拉MTN001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21常德城投PPN005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21滨江房产MTN002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21淮南矿MTN005(可持续挂钩)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051010100101083764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兴银理财增盈优选20号净值型理财产品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2022年1月24日</w:t>
            </w:r>
          </w:p>
        </w:tc>
        <w:tc>
          <w:tcPr>
            <w:gridSpan w:val="4"/>
          </w:tcPr>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800"/>
  <w:compat>
    <w:useFELayout/>
    <w:splitPgBreakAndParaMark/>
    <w:compatSetting w:name="compatibilityMode" w:uri="http://schemas.microsoft.com/office/word" w:val="12"/>
  </w:compat>
  <w:rsids>
    <w:rsidRoot w:val="00000000"/>
    <w:rsid w:val="50F069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2022-01-20T07:39:49Z</dcterms:created>
  <dc:creator>cib</dc:creator>
  <cp:lastModifiedBy>cib</cp:lastModifiedBy>
  <dcterms:modified xsi:type="dcterms:W3CDTF">2022-01-20T07:40:08Z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