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兴银理财睿盈年年升7号净值型理财产品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兴银理财睿盈年年升7号净值型理财产品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Z7002020000135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7,913,047,552份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6,775,644,333.53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睿盈年年升7号B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1,137,403,218.47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产品9K220127自起息日以来，累计净值增长率为3.6910%，年化累计净值增长率为4.5361%。</w:t>
              <w:br/>
              <w:t xml:space="preserve">产品9K220227自起息日以来，累计净值增长率为3.7770%，年化累计净值增长率为4.6418%。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8,206,071,263.21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7,025,707,529.79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1,180,363,733.42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莹女士，西安交通大学数量经济学硕士，西北工业大学理学学士，拥有固定收益领域8年研究经验，8年投资交易经验。曾任职于华泰证券、海通证券研究所，所在团队多次上榜和入围新财富最佳分析师。于2014年加入兴业银行，任投资经理，同时牵头固定收益投资部信用债研究，擅长定量定性的宏观研判和信用债价值挖掘，一二级市场投资、交易和产品管理经验丰富，所管理的净值型“稳利”系列产品，业绩优秀，风格稳健。</w:t>
              <w:br/>
              <w:t xml:space="preserve">    曹子寒先生，北京大学物理学、经济学学士，金融法学硕士，CPA。17年加入兴银理财（前兴业银行资产管理部），4年权益研究投资经验。现任兴银理财股票与量化投资部投资经理。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权益方面，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Z云-同业借款20210414001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21平安银行CD233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486,946,000.00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Z京-同业借款20210422004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389,594,400.00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21浦发银行CD139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388,599,200.00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365,837,870.00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Z沪-同业借款20210415002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292,200,900.00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291,178,800.00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211,587,126.46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兴银理财睿盈年年升7号净值型理财产品2021年第四季度报告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21兖矿MTN002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21南京浦口CP001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21南京医药MTN001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21江东控股MTN001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兴银理财睿盈年年升7号净值型理财产品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