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兴银理财增盈优选10号净值型理财产品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1,436,379,563.48份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1,063,017,192.90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373,362,370.58</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产品9K220920自起息日以来，累计净值增长率为5.9630%，年化累计净值增长率为4.5344%。</w:t>
              <w:br/>
              <w:t xml:space="preserve">产品9K220930自起息日以来，累计净值增长率为6.0980%，年化累计净值增长率为4.6370%。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1,522,536,098.42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1,126,407,225.39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396,128,873.03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市场回顾：回顾2021年四季度，从市场结构上看，四季度权益市场除港股外，大部分板块均呈现正收益，其中国防军工表现较为尤其，其次是转债和芯片指数，而新能源相关板块呈现先涨后跌的情况。从全年的角度来看，2021年价值股远远跑输成长股，市场的主流赛道是高景气需求端持续旺盛的行业，金融行业除了在一季度表现较为优异外，剩下三个季度受到经济和房地产的拖累总体呈现逐步下行的态势。</w:t>
              <w:br/>
              <w:t xml:space="preserve">    对于2022年而言，权益市场的格局相比2021年会大概率会表现的更均衡，整体可能会偏震荡行情，能否在震荡行情中获取超额收益变得尤为重要，从长期的角度来看我们总体依然看好新能源相关的智能化、半导体等带来的机会，同时在消费和防守板块也会进行一定的配置，使得整个配置更加均衡，尽力获取稳定的收益。</w:t>
              <w:br/>
              <w:t xml:space="preserve">    管理的产品以资产配置为战略方向，优选基金为主要抓手，通过基金和债券的组合投资，获取长期稳健收益。</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56,837,511.92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21航集02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50,651,950.00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20进纾01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45,136,125.00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21广州地铁MTN007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40,297,880.00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35,227,487.84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31,411,562.96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30,549,180.00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21鲁高速MTN002(乡村振兴)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30,517,860.00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