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产品9K221126自起息日以来，累计净值增长率为1.6560%，年化累计净值增长率为4.5107%。</w:t>
              <w:br/>
              <w:t xml:space="preserve">产品9K221226自起息日以来，累计净值增长率为1.6800%，年化累计净值增长率为4.5761%。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1,447,065,740.01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1,231,912,647.34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215,153,092.67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四季度经济延续下行态势，通胀压力因发改委对煤炭价格的控制逐步缓解；市场层面，商品市场大幅震荡呈现过山车行情，权益市场延续结构性行情，债券收益率调整后再次进入下行趋势。</w:t>
              <w:br/>
              <w:t xml:space="preserve">    二、市场展望。展望2022年一季度，1、2月份是数据的真空期，尽管经济仍处于下行趋势中，但政策发力、信贷数据开门红以及海外经济复苏，债券市场可能会出现一定地调整，适度降低组合久期；权益市场一季度调整期仓位缓步提升，结构上，当市场逐步演绎疫情结束，人们生活常态化的逻辑，消费服务板块终将恢复，此外，汽车电子、智能化将沿着产业趋势的方向进一步演绎，价值类方向可能出现阶段性的机会，总体而言，结构适度均衡。</w:t>
              <w:br/>
              <w:t xml:space="preserve">    三、组合策略。</w:t>
              <w:br/>
              <w:t xml:space="preserve">    增盈26号采用高仓位债券资产，久期1.5-2.5年；权益仓位低于10%，结构中，维持高景气赛道绿色产业（即新能源、储能、光伏）的配置利率，适当配置周期价值等低估值板块，增加了种植、消费等行业，提升组合胜率。</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75,026,850.00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60,005,026.39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50,833,169.00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50,423,050.00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42,126,462.00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41,500,440.00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20通威MTN001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40,024,680.00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39,212,760.00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21天目湖SCP001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