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兴银理财稳添利短债净值型理财产品</w:t>
              <w:br/>
              <w:t xml:space="preserve">2021年第四季度报告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报告送出日期：2022年1月24日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740"/>
        <w:gridCol w:w="1260"/>
        <w:gridCol w:w="2000"/>
        <w:gridCol w:w="2840"/>
        <w:gridCol w:w="46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7"/>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兴银理财稳添利短债净值型理财产品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9K810002</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Z7002020000087</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4,112,777,491.5份</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中债新综合全价（1年以下）指数收益率</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稳添利短债</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9K810012</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4,112,777,491.50</w:t>
                        </w:r>
                      </w:p>
                    </w:tc>
                  </w:tr>
                </w:tbl>
                <w:p>
                  <w:pPr>
                    <w:pStyle w:val="EMPTY_CELL_STYLE"/>
                  </w:pPr>
                </w:p>
              </w:tc>
            </w:tr>
          </w:tbl>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产品9K810012自起息日以来，累计净值增长率为5.6620%，年化累计净值增长率为4.0923%。</w:t>
              <w:br/>
              <w:t xml:space="preserve">报告期末，产品净值表现具体如下：</w:t>
            </w:r>
          </w:p>
        </w:tc>
        <w:tc>
          <w:tcPr>
     </w:tcPr>
          <w:p>
            <w:pPr>
              <w:pStyle w:val="EMPTY_CELL_STYLE"/>
            </w:pPr>
          </w:p>
        </w:tc>
        <w:tc>
          <w:tcPr>
     </w:tcPr>
          <w:p>
            <w:pPr>
              <w:pStyle w:val="EMPTY_CELL_STYLE"/>
            </w:pPr>
          </w:p>
        </w:tc>
      </w:tr>
      <w:tr>
        <w:trPr>
          <w:trHeight w:hRule="exact" w:val="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4,345,659,516.66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9K810012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1.05662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4,345,659,516.66</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沈方威先生，中国人民大学金融学硕士，中央财经大学投资学学士，拥有6年的债券投资交易经验，曾任职于中国农业银行金融市场部，于2020年7月加入兴银理财，担任固定收益部投资经理，投资交易经验丰富，注重基本面和政策研究，关注资产性价比，追求稳定回报。</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9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随后央行行长易纲表示PPI将在年内走低，经济高频数据显示经济下行压力加大以及宽松资金面的助推下，市场收益率重回下行通道，四季度经济数据持续走弱，总理重提六稳，政策放松预期再起，债券市场再度进入牛市，收益率水平一路下行至年内低位，收益率曲线结构方面，四季度资金价格平稳，R007围绕OMO利率2.2%的中枢波动，在经济预期走弱的带动下，收益率曲线出现牛平走势。</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一季度仍将是稳增长。政策基调仍可能是宽货币、宽信用，历史上双宽政策周期中债券表现强的概率较高。考虑到明年一季度美联储加息可能性不高，国内货币政策仍处于宽松窗口，我们认为债券市场仍有参与机会。</w:t>
              <w:br/>
              <w:t xml:space="preserve">    二、运作回顾</w:t>
              <w:br/>
              <w:t xml:space="preserve">    2021年四季度，债券市场先上后下。考虑到经济基本面下行压力增大，房地产产业链压力不断增大，我们在四季度初收益率上行阶段判断此次市场调整空间有限，因而在10月、11月保持了杠杆操作，并稳步增配高性价比券种，抓住了高等级中长久期债券、利率债和存单的行情，赚取了稳定票息收益的同时，资本利得方面亦有收获。</w:t>
              <w:br/>
              <w:t xml:space="preserve">    三、展望投资策略</w:t>
              <w:br/>
              <w:t xml:space="preserve">    展望一季度，产品将继续保持稳健的投资风格。1、发挥票息策略优势，同时维持中性偏积极的杠杆水平与中性偏积极的组合久期。2、把握住利率反弹时的配置机会。3、关注货币政策可能再次宽松的交易机会。</w:t>
              <w:br/>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中国工商银行安顺分行大额存单20210329002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11.51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21浦发银行CD311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194,834,600.00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20农发清发01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140,018,620.00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21中信银行CD052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106,784,480.00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20南京医药(疫情防控债)MTN001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100,490,900.00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21交通银行CD202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97,438,700.00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21华夏银行CD082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97,174,300.00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19建发集MTN001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71,626,800.00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20钟楼新城MTN002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70,891,940.00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1.63</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19银河C4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70,130,900.00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1.61</w:t>
                        </w:r>
                      </w:p>
                    </w:tc>
                  </w:tr>
                </w:tbl>
                <w:p>
                  <w:pPr>
                    <w:pStyle w:val="EMPTY_CELL_STYLE"/>
                  </w:pPr>
                </w:p>
              </w:tc>
            </w:tr>
          </w:tbl>
          <w:p>
            <w:pPr>
              <w:pStyle w:val="EMPTY_CELL_STYLE"/>
            </w:pPr>
          </w:p>
        </w:tc>
        <w:tc>
          <w:tcPr>
     </w:tcPr>
          <w:p>
            <w:pPr>
              <w:pStyle w:val="EMPTY_CELL_STYLE"/>
            </w:pPr>
          </w:p>
        </w:tc>
      </w:tr>
      <w:tr>
        <w:trPr>
          <w:trHeight w:hRule="exact" w:val="1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2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21丹投CP002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21湘投SCP003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21郫国投CP001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19建发集MTN001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21桂投资SCP005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21镇江交通CP002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18黄石城投PPN001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19如皋沿江PPN002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19镇江城建MTN001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20大同煤矿MTN001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20如皋沿江PPN001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20海沧投资PPN001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20镇江城建MTN001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21厦国贸控MTN004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21如皋沿江SCP003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21广投能源SCP004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21昆明交通SCP004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21淮安交通PPN001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21高速地产SCP008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兴银理财稳添利短债净值型理财产品2021年第四季度报告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9K810002</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20南京医药(疫情防控债)MTN001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051010100101065169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兴银理财稳添利短债净值型理财产品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2022年1月24日</w:t>
            </w:r>
          </w:p>
        </w:tc>
        <w:tc>
          <w:tcPr>
     </w:tcPr>
          <w:p>
            <w:pPr>
              <w:pStyle w:val="EMPTY_CELL_STYLE"/>
            </w:pPr>
          </w:p>
        </w:tc>
        <w:tc>
          <w:tcPr>
     </w:tcPr>
          <w:p>
            <w:pPr>
              <w:pStyle w:val="EMPTY_CELL_STYLE"/>
            </w:pPr>
          </w:p>
        </w:tc>
      </w:tr>
      <w:tr>
        <w:trPr>
          <w:trHeight w:hRule="exact" w:val="6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