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1,564,742,009.93份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1,564,742,009.93</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产品9K81005A自起息日以来，累计净值增长率为1.3670%，年化累计净值增长率为3.6420%。</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1,586,128,169.97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1,586,128,169.97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17新开元MTN001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