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1,617,630,180.69份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1,617,630,180.69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产品9K81006A自起息日以来，累计净值增长率为1.1300%，年化累计净值增长率为3.5556%。</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1,635,916,235.15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1,635,916,235.15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97,077,200.00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97,071,300.00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19海保02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70,734,930.00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60,176,460.00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50,115,950.00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