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26,349,265,018.82份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产品9K816013自起息日以来，累计净值增长率为24.5790%，年化累计净值增长率为4.6244%。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1.24579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1.24579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32,825,691,289.96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5,284,334,677.18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1,832,426,284.30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Z存放同业（线上）20211123001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973,536,000.00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973,523,000.00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876,804,300.00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714,563,140.77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524,074,378.08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