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兴银理财天天万利宝稳利恒盈7号C款净值型理财产品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兴银理财天天万利宝稳利恒盈7号C款净值型理财产品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9N212120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Z7002021000071</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1,531,556,499.16份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4.50%-5.20%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1,531,556,499.16</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产品9N21212A自起息日以来，累计净值增长率为4.4600%，年化累计净值增长率为5.9196%。</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1,599,870,803.39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1,599,870,803.39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99,542,945.84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79,100,080.00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60,398,473.23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54,792,696.20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52,994,000.00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50,428,323.25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易方达瑞弘A ( 003882.OF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32,168,352.65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31,625,011.28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30,863,770.07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