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兴银理财天天万利宝稳利恒盈7号G款净值型理财产品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5,288,625,192.78份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1,998,609,062.60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300,854,871.67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稳利恒盈7号G款 14个月C(回馈)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2,989,161,258.51</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产品9N21216A自起息日以来，累计净值增长率为1.4690%，年化累计净值增长率为4.6625%。</w:t>
              <w:br/>
              <w:t xml:space="preserve">产品9N21216B自起息日以来，累计净值增长率为1.4850%，年化累计净值增长率为4.7133%。</w:t>
              <w:br/>
              <w:t xml:space="preserve">产品9N21216C自起息日以来，累计净值增长率为1.4850%，年化累计净值增长率为4.7133%。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5,366,843,323.00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2,027,961,030.11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305,322,414.24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3,033,559,878.65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Z鄂-同业借款20211021002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266,962,770.00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248,857,364.60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（鸿微二期A2）2021浙江网商银行股份有限公司信托受益权资产0145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146,065,200.00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19阳煤PPN005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19大同煤矿MTN004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兴银理财天天万利宝稳利恒盈7号G款净值型理财产品2021年第四季度报告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051010100101247861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