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28,317,193.14份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产品9W210010自起息日以来，累计净值增长率为1.7330%，年化累计净值增长率为2.0274%。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1.01733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28,808,023.23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初受中资地产债大跌拖累，投资级债券债券有不同程度下跌。产品净值受此影响有一定回撤，由于在此之前资产组合久期较短1-1.5年，且持仓均为高资质债券，无地产持仓，组合回撤低于市场平均。在市场下跌后，择机增持债券，随着市场价格的反弹，组合净值逐步回升。</w:t>
              <w:br/>
              <w:t xml:space="preserve">    产品安排了一定规模的年底和明年上半年到期资产，增加组合在缩表敏感时点择机配置的灵活性。从目前组合静态收益率、久期、资产资质情况看，组合整体风险可控。</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2,362,008.00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2,199,256.60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2,191,815.60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1,526,145.00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1,367,725.50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