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44,503,172.65份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29,964,274.25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14,538,898.40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产品9W21023A自起息日以来，累计净值增长率为-0.2060%，年化累计净值增长率为-0.5529%。</w:t>
              <w:br/>
              <w:t xml:space="preserve">产品9W21023B自起息日以来，累计净值增长率为-0.1930%，年化累计净值增长率为-0.5180%。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44,413,198.26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29,902,420.03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14,510,778.23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以来，中资美元债市场整体面临基本面的挑战和市场价格的剧烈波动。四季度美联储taper启动，同时美联储议息会表现逐渐鹰派的态度，美元加息预期逐步强化，美国国债收益率在四季度呈现了较快速的上行，其中2年期上行55bps以上，5年期上行45bps左右。但新冠病毒出现新变种，全球包括美国本土疫情又出现恶化局面，经济复苏长期缺乏支撑，美国国债收益率曲线整体呈平坦化趋势。第四季度，在中资美元债市场，多起中资地产美元债违约事件爆发，引发中资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本产品投资的标的主要是投资级中资美元债，在第四季度的市场波动中，产品净值也有所回撤，但因本产品久期较短，回撤有限，并且投资经理在市场波动中抓住价格低位进行少量补仓，在投资级市场企稳后，本产品净值也企稳回升。</w:t>
            </w: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3,745,312.50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2,182,818.00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2,137,432.00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1,910,298.00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