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3,376,625,745.03份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3,376,625,745.03</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产品9K20927A自起息日以来，累计净值增长率为1.3640%，年化累计净值增长率为4.0808%。</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3,422,670,525.38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3,422,670,525.38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债券等固收品种有丰富的实战经验与较深刻的理解，擅长挖掘市场微观变化与机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21鄂交投SCP009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90,782,190.00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20余杭创新PPN001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60,672,720.00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21厦翔业SCP020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59,992,260.00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17中原豫资PPN002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50,981,100.00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21吴中城投SCP016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21青岛海创SCP002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