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兴银理财灵动全天候15号净值型理财产品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586,102,974.43份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灵动15号陆陆通A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502,539,597.24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灵动15号陆陆通B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80,363,377.19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金雪球灵动15号陆陆通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3,200,000.00</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产品9K212165自起息日以来，累计净值增长率为3.5630%，年化累计净值增长率为3.7696%。</w:t>
              <w:br/>
              <w:t xml:space="preserve">产品9K212265自起息日以来，累计净值增长率为3.6520%，年化累计净值增长率为3.8637%。</w:t>
              <w:br/>
              <w:t xml:space="preserve">产品9K212365自起息日以来，累计净值增长率为3.6760%，年化累计净值增长率为3.8891%。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607,059,179.74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520,443,693.44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83,297,865.56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3,317,620.74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产品债券投资逐步转为谨慎，除了增盈13的久期较长外，其他产品的久期都有所减少。6款固收+产品的权益仓位都有不同程度的增加，目前两年期产品穿透后的仓位控制在10%以内，一年期穿透后的仓位控制在8%以内，半年期产品的仓位控制在5%以内。所有产品的持仓相对均衡，40%的价值+60%的成长。四季度对债券谨慎乐观，尽管国内经济下行已经确认，但后续随着宽信用重启和中美利差的缩小，国内债券面临一定的调整压力。四季度保持债券的中性久期不变，通过增持少量价值类（比如顺周期的大金融和消费）进行对冲。权益部分四季度保持相对乐观，在国内货币政策不收紧的前提下，权益市场不会出现大的风险，目前判断仍然是结构性行情，价值和成长的切换会较为频繁。</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34,930,000.00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19TCL01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29,437,710.00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20,547,380.00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20,328,900.00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Z存放同业（线上）20211223003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21雨花城投SCP001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19,988,540.00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19,784,560.00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21桂投资SCP005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12,010,308.00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安信稳健增值A ( 001316.OF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11,059,686.36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21今世缘CP001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21桂投资SCP005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21柳州东通SCP001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21紫金矿业MTN001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21雨花城投SCP001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051010100101137777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