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兴银理财灵动全天候19号净值型理财产品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1,559,483,572.7份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1,272,351,156.36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202,586,090.69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金雪球灵动19号年年升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84,546,325.65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产品9K212169自起息日以来，累计净值增长率为3.8220%，年化累计净值增长率为4.4856%。</w:t>
              <w:br/>
              <w:t xml:space="preserve">产品9K212269自起息日以来，累计净值增长率为3.9010%，年化累计净值增长率为4.5783%。</w:t>
              <w:br/>
              <w:t xml:space="preserve">产品9K212369自起息日以来，累计净值增长率为3.9090%，年化累计净值增长率为4.5877%。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1,619,322,830.93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1,320,981,409.41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210,489,919.67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87,851,501.85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21浙之江城投ZR001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81,591,861.42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57,020,406.00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56,248,115.00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51,842,379.05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50,804,450.00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44,108,636.00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30,575,490.00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