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兴银理财兴合汇中1号混合类净值型理财产品2021年第四季度报告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兴银理财兴合汇中1号混合类净值型理财产品</w:t>
            </w:r>
            <w:r>
              <w:rPr>
                <w:rFonts w:ascii="宋体" w:hAnsi="宋体" w:eastAsia="宋体" w:cs="宋体"/>
                <w:b/>
                <w:color w:val="000000"/>
                <w:sz w:val="32"/>
              </w:rPr>
              <w:br w:type="textWrapping"/>
            </w:r>
            <w:r>
              <w:rPr>
                <w:rFonts w:ascii="宋体" w:hAnsi="宋体" w:eastAsia="宋体" w:cs="宋体"/>
                <w:b/>
                <w:color w:val="000000"/>
                <w:sz w:val="32"/>
              </w:rPr>
              <w:t>2021年第四季度报告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报告送出日期：2022年1月24日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兴银理财兴合汇中1号混合类净值型理财产品2021年第四季度报告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兴银理财兴合汇中1号混合类净值型理财产品2021年第四季度报告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兴银理财兴合汇中1号混合类净值型理财产品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9K212804</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Z7002021000059</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1,463,617,447.94份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沪深300指数收益率*60%+中债新综合财富（1年以下）指数收益率*40%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R4</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34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兴银理财兴合汇中1号混合类净值型理财产品2021年第四季度报告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bookmarkStart w:id="7" w:name="_GoBack"/>
            <w:bookmarkEnd w:id="7"/>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产品9K212804自起息日以来，累计净值增长率为-4.7020%，年化累计净值增长率为-8.9387%。</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0.95298</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0.95298</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1,394,790,998.61</w:t>
            </w: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12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逄博先生，上海交通大学金融硕士，上海交通大学数学与应用数学学士，拥有3年多债券投资交易经验。2019年加入兴银理财有限责任公司，现任兴银理财固定收益部投资经理，主要负责债券投资以及固收产品投资管理工作。</w:t>
            </w:r>
            <w:r>
              <w:rPr>
                <w:rFonts w:ascii="宋体" w:hAnsi="宋体" w:eastAsia="宋体" w:cs="宋体"/>
                <w:color w:val="000000"/>
                <w:sz w:val="21"/>
              </w:rPr>
              <w:br w:type="textWrapping"/>
            </w:r>
            <w:r>
              <w:rPr>
                <w:rFonts w:ascii="宋体" w:hAnsi="宋体" w:eastAsia="宋体" w:cs="宋体"/>
                <w:color w:val="000000"/>
                <w:sz w:val="21"/>
              </w:rPr>
              <w:t xml:space="preserve">    杨梦影女士，南京大学学士，中国社会科学院研究员院硕士，2018年加入兴业银行资产管理部，7年金融从业经验，曾在兴业基金等机构任投资经理，现任兴银理财权益投资团队投资经理。</w:t>
            </w:r>
          </w:p>
        </w:tc>
        <w:tc>
          <w:p>
            <w:pPr>
              <w:pStyle w:val="4"/>
            </w:pPr>
          </w:p>
        </w:tc>
      </w:tr>
      <w:tr>
        <w:tblPrEx>
          <w:tblCellMar>
            <w:top w:w="0" w:type="dxa"/>
            <w:left w:w="10" w:type="dxa"/>
            <w:bottom w:w="0" w:type="dxa"/>
            <w:right w:w="10" w:type="dxa"/>
          </w:tblCellMar>
        </w:tblPrEx>
        <w:trPr>
          <w:gridAfter w:val="4"/>
          <w:wAfter w:w="40" w:type="dxa"/>
          <w:trHeight w:val="7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7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一、市场观点</w:t>
            </w:r>
            <w:r>
              <w:rPr>
                <w:rFonts w:ascii="宋体" w:hAnsi="宋体" w:eastAsia="宋体" w:cs="宋体"/>
                <w:color w:val="000000"/>
                <w:sz w:val="21"/>
              </w:rPr>
              <w:br w:type="textWrapping"/>
            </w:r>
            <w:r>
              <w:rPr>
                <w:rFonts w:ascii="宋体" w:hAnsi="宋体" w:eastAsia="宋体" w:cs="宋体"/>
                <w:color w:val="000000"/>
                <w:sz w:val="21"/>
              </w:rP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r>
            <w:r>
              <w:rPr>
                <w:rFonts w:ascii="宋体" w:hAnsi="宋体" w:eastAsia="宋体" w:cs="宋体"/>
                <w:color w:val="000000"/>
                <w:sz w:val="21"/>
              </w:rPr>
              <w:br w:type="textWrapping"/>
            </w:r>
            <w:r>
              <w:rPr>
                <w:rFonts w:ascii="宋体" w:hAnsi="宋体" w:eastAsia="宋体" w:cs="宋体"/>
                <w:color w:val="000000"/>
                <w:sz w:val="21"/>
              </w:rPr>
              <w:t xml:space="preserve">    权益方面，2022上半年：财政积极且前置，货币配套稳中偏松，利率平稳且曲线有可能陡峭化，叠加二季度利润增速压力最大，判断上半年风格偏大盘蓝筹。2022 下半年：财政发力趋弱，外部环境剧烈变化，货币配套偏稳，利率曲线上行压力变大，盈利增速缓慢修复，判断风格将再度回归均衡，偏消费+小盘成长。</w:t>
            </w:r>
            <w:r>
              <w:rPr>
                <w:rFonts w:ascii="宋体" w:hAnsi="宋体" w:eastAsia="宋体" w:cs="宋体"/>
                <w:color w:val="000000"/>
                <w:sz w:val="21"/>
              </w:rPr>
              <w:br w:type="textWrapping"/>
            </w:r>
            <w:r>
              <w:rPr>
                <w:rFonts w:ascii="宋体" w:hAnsi="宋体" w:eastAsia="宋体" w:cs="宋体"/>
                <w:color w:val="000000"/>
                <w:sz w:val="21"/>
              </w:rPr>
              <w:t xml:space="preserve">    与宏观经济周期相关性较低、政策独立性较强以及技术驱动的板块，依旧看好，如双碳、汽车智能化等。</w:t>
            </w:r>
            <w:r>
              <w:rPr>
                <w:rFonts w:ascii="宋体" w:hAnsi="宋体" w:eastAsia="宋体" w:cs="宋体"/>
                <w:color w:val="000000"/>
                <w:sz w:val="21"/>
              </w:rPr>
              <w:br w:type="textWrapping"/>
            </w:r>
            <w:r>
              <w:rPr>
                <w:rFonts w:ascii="宋体" w:hAnsi="宋体" w:eastAsia="宋体" w:cs="宋体"/>
                <w:color w:val="000000"/>
                <w:sz w:val="21"/>
              </w:rP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r>
            <w:r>
              <w:rPr>
                <w:rFonts w:ascii="宋体" w:hAnsi="宋体" w:eastAsia="宋体" w:cs="宋体"/>
                <w:color w:val="000000"/>
                <w:sz w:val="21"/>
              </w:rPr>
              <w:br w:type="textWrapping"/>
            </w:r>
            <w:r>
              <w:rPr>
                <w:rFonts w:ascii="宋体" w:hAnsi="宋体" w:eastAsia="宋体" w:cs="宋体"/>
                <w:color w:val="000000"/>
                <w:sz w:val="21"/>
              </w:rPr>
              <w:t xml:space="preserve">    二、运作回顾</w:t>
            </w:r>
            <w:r>
              <w:rPr>
                <w:rFonts w:ascii="宋体" w:hAnsi="宋体" w:eastAsia="宋体" w:cs="宋体"/>
                <w:color w:val="000000"/>
                <w:sz w:val="21"/>
              </w:rPr>
              <w:br w:type="textWrapping"/>
            </w:r>
            <w:r>
              <w:rPr>
                <w:rFonts w:ascii="宋体" w:hAnsi="宋体" w:eastAsia="宋体" w:cs="宋体"/>
                <w:color w:val="000000"/>
                <w:sz w:val="21"/>
              </w:rP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兴银理财兴合汇中1号混合类净值型理财产品2021年第四季度报告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9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三、展望投资策略</w:t>
            </w:r>
            <w:r>
              <w:rPr>
                <w:rFonts w:ascii="宋体" w:hAnsi="宋体" w:eastAsia="宋体" w:cs="宋体"/>
                <w:color w:val="000000"/>
                <w:sz w:val="21"/>
              </w:rPr>
              <w:br w:type="textWrapping"/>
            </w:r>
            <w:r>
              <w:rPr>
                <w:rFonts w:ascii="宋体" w:hAnsi="宋体" w:eastAsia="宋体" w:cs="宋体"/>
                <w:color w:val="000000"/>
                <w:sz w:val="21"/>
              </w:rPr>
              <w:t xml:space="preserve">    展望一季度，产品将继续保持稳健的投资风格。1、发挥票息策略优势，同时维持中性偏积极的杠杆水平与中性偏积极的组合久期。2、把握住利率反弹时的配置机会。3、关注货币政策可能再次宽松的交易机会。</w:t>
            </w:r>
            <w:r>
              <w:rPr>
                <w:rFonts w:ascii="宋体" w:hAnsi="宋体" w:eastAsia="宋体" w:cs="宋体"/>
                <w:color w:val="000000"/>
                <w:sz w:val="21"/>
              </w:rPr>
              <w:br w:type="textWrapping"/>
            </w:r>
            <w:r>
              <w:rPr>
                <w:rFonts w:ascii="宋体" w:hAnsi="宋体" w:eastAsia="宋体" w:cs="宋体"/>
                <w:color w:val="000000"/>
                <w:sz w:val="21"/>
              </w:rPr>
              <w:t xml:space="preserve">    权益方面，预计2022年经济压力仍大，供给端工业生产将恢复正常水平；需求端，出口大概率回落，但仍有韧性，制造业投资韧性仍强，基建投资将有所发力，地产投资将继续下滑，但“循环”修复政策不会失速，消费趋于改善，但幅度有限。财政整体定调积极，节奏前置托底经济；货币政策或稳中偏松 。产业政策或将围绕双碳、共同富裕 、稳增长等主题。</w:t>
            </w:r>
            <w:r>
              <w:rPr>
                <w:rFonts w:ascii="宋体" w:hAnsi="宋体" w:eastAsia="宋体" w:cs="宋体"/>
                <w:color w:val="000000"/>
                <w:sz w:val="21"/>
              </w:rPr>
              <w:br w:type="textWrapping"/>
            </w:r>
            <w:r>
              <w:rPr>
                <w:rFonts w:ascii="宋体" w:hAnsi="宋体" w:eastAsia="宋体" w:cs="宋体"/>
                <w:color w:val="000000"/>
                <w:sz w:val="21"/>
              </w:rPr>
              <w:t xml:space="preserve">    结合中央经济工作会议对明年经济“稳”要求以及对财政、货币的新表述，展望2022年的A股市场，我们认为政策变化将成为市场的主导。</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51.72</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21.48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86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兴银理财兴合汇中1号混合类净值型理财产品2021年第四季度报告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4"/>
          </w:tcPr>
          <w:p>
            <w:pPr>
              <w:pStyle w:val="4"/>
            </w:pP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中欧基金榕铭1号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804,316,331.64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57.67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国金证券收益凭证92期9月</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21.51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21贴债59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79,100,080.00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20常德城投PPN002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30,647,250.00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20六合国资MTN001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30,427,410.00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20青岛海洋PPN001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30,336,690.00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21江宁经开PPN003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30,044,880.00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20电建地产PPN002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20,299,420.00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21川能投PPN001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20,274,800.00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20越秀租赁PPN002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20,246,900.00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1.45</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1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兴银理财兴合汇中1号混合类净值型理财产品2021年第四季度报告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051010100101192433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兴银理财兴合汇中1号混合类净值型理财产品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2022年1月24日</w:t>
            </w:r>
          </w:p>
        </w:tc>
        <w:tc>
          <w:tcPr>
            <w:gridSpan w:val="4"/>
          </w:tcPr>
          <w:p>
            <w:pPr>
              <w:pStyle w:val="4"/>
            </w:pPr>
          </w:p>
        </w:tc>
        <w:tc>
          <w:p>
            <w:pPr>
              <w:pStyle w:val="4"/>
            </w:pPr>
          </w:p>
        </w:tc>
      </w:tr>
      <w:tr>
        <w:tblPrEx>
          <w:tblCellMar>
            <w:top w:w="0" w:type="dxa"/>
            <w:left w:w="10" w:type="dxa"/>
            <w:bottom w:w="0" w:type="dxa"/>
            <w:right w:w="10" w:type="dxa"/>
          </w:tblCellMar>
        </w:tblPrEx>
        <w:trPr>
          <w:trHeight w:val="1184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5"/>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800"/>
  <w:compat>
    <w:useFELayout/>
    <w:splitPgBreakAndParaMark/>
    <w:compatSetting w:name="compatibilityMode" w:uri="http://schemas.microsoft.com/office/word" w:val="12"/>
  </w:compat>
  <w:rsids>
    <w:rsidRoot w:val="00000000"/>
    <w:rsid w:val="01CC4A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2022-01-20T07:22:33Z</dcterms:created>
  <dc:creator>cib</dc:creator>
  <cp:lastModifiedBy>cib</cp:lastModifiedBy>
  <dcterms:modified xsi:type="dcterms:W3CDTF">2022-01-20T07:22:45Z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