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兴银理财和鑫财富优享2021年第8期净值型理财产品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兴银理财和鑫财富优享2021年第8期净值型理财产品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9K213108</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Z7002021A000068</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个人定期(整存整取)一年+浮动基数2.45%</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和鑫财富优享2021年第8期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9K213A08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产品9K213A08自起息日以来，累计净值增长率为2.1580%，年化累计净值增长率为3.9581%。</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510,790,581.50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510,790,581.50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97.89</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051010100101189842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