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兴银理财和鑫财富优享2021年第10期净值型理财产品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兴银理财和鑫财富优享2021年第10期净值型理财产品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和鑫财富优享2021年第10期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产品9K213A10自起息日以来，累计净值增长率为1.8650%，年化累计净值增长率为4.0043%。</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1,018,654,192.12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1,018,654,192.12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98.17</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051010100101190093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