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兴银理财和鑫财富优享2021年第12期净值型理财产品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兴银理财和鑫财富优享2021年第12期净值型理财产品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和鑫财富优享2021年第12期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产品9K213A12自起息日以来，累计净值增长率为1.4060%，年化累计净值增长率为3.6140%。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1,014,063,780.31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1,014,063,780.31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98.61</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