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兴银理财和鑫财富优享2021年第14期净值型理财产品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兴银理财和鑫财富优享2021年第14期净值型理财产品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9K213114</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Z7002021A000084</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和鑫财富优享2021年第14期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产品9K213A14自起息日以来，累计净值增长率为1.4960%，年化累计净值增长率为3.7919%。</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202,991,301.40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202,991,301.40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98.53</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