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兴银理财和鑫财富优享2021年第23期净值型理财产品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兴银理财和鑫财富优享2021年第23期净值型理财产品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产品9K213123自起息日以来，累计净值增长率为1.1870%，年化累计净值增长率为3.8341%。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1.01187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1.01187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1,011,874,308.55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2021网商银行0148（网商鸿微4期A1）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80,197,920.00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70,230,020.00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19绵阳交通PPN001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50,262,700.00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21鄂交投SCP010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49,960,800.00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21浙商资产PPN003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49,883,650.00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21鹰潭国控MTN001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40,507,600.00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40,461,840.00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30,519,930.00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21首创置业MTN002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30,015,330.00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051010100101236409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兴银理财和鑫财富优享2021年第23期净值型理财产品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