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C1030910000007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41,666,954,379.88份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报告期内，07010011七日年化收益率均值2.8898%。同期业绩比较基准如下：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0.6892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2.7410%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41,666,954,379.88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br/>
              <w:b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br/>
              <w:br/>
              <w:t xml:space="preserve">二 前期运作回顾</w:t>
              <w:br/>
              <w:t xml:space="preserve">    报告期内，本产品始终将保持流动性安全和防范信用风险作为第一要务，在此基础上通过稳健的投资风格实现相对稳定的收益。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产品七日年化收益率均值2.89%，得益于产品收益的较强竞争力，产品规模稳步上升。投资策略上，根据我们对市场的预判，一季度收益率震荡走势中，收益率下行探底期间顶住配置压力买入少量久期较短的资产，以低成本杠杆增厚产品组合收益；在收益率回升期积极把握市场高点的买入机会，通过拉长久期、选择性价比较高的高等级信用债和同业信用类资产，较好地抓住了资产配置的时间窗口。</w:t>
              <w:br/>
              <w:t xml:space="preserve">    资产品种上仍然维持以利率债、同业存单及高评级信用债为主，同时搭配存放同业、ABS等资产，保证产品流动性安全的同时兼顾组合收益，策略上以票息策略为主，杠杆及交易性策略为辅。由于季度末赎回、流动性压力较大时，通过正回购和卖出短期限资产，保证产品流动性安全的同时满足了客户的赎回需求。</w:t>
              <w:br/>
              <w:br/>
              <w:t xml:space="preserve">三 后期投资策略	</w:t>
              <w:br/>
              <w:t xml:space="preserve">    下阶段本产品依然会保持安全性和流动性优先、兼顾收益性的稳健投资策略，深入研究分析债券市场收益率的变化趋势，综合考量各投资品种的风险收益特征，在此基础上制定科学有效的投资策略。</w:t>
              <w:b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b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1,094,133,161.96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20建信金融债01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1,027,523,900.56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存放同业20210314002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存放同业20211210002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存放同业20220214001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982,364,774.30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17华夏银行二级01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841,238,730.87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19蒙牛MTN001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21金川SCP002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22夏商SCP002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22夏商SCP003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21南昌轨交GN003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21宜昌城控CP003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19滨湖建设PPN001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21四川港投SCP002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21国新保理SCP002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21楚天智能SCP004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21雨花城投SCP002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22云南冶金SCP001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22象屿股份SCP001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22青岛国信SCP001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20江苏租赁绿色01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22安吉租赁ABN001优先A1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141,264,000.00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21湘高速MTN006(革命老区)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