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1380"/>
        <w:gridCol w:w="2600"/>
        <w:gridCol w:w="1400"/>
        <w:gridCol w:w="1400"/>
        <w:gridCol w:w="1200"/>
        <w:gridCol w:w="980"/>
        <w:gridCol w:w="20"/>
        <w:gridCol w:w="200"/>
        <w:gridCol w:w="800"/>
        <w:gridCol w:w="280"/>
        <w:gridCol w:w="1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兴业银行“天天万利宝-合盈”开放式净值型理财产品35D(理财编号：9W910016)定期公告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2022年第一季度报告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2022年3月31日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9W910016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兴业银行“天天万利宝-合盈”开放式净值型理财产品35D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2020年10月15日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2030年10月15日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3,652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净值型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3,886,046,468.81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表2.报告期末产品收益及产品规模表现：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2600"/>
              <w:gridCol w:w="2200"/>
              <w:gridCol w:w="2000"/>
              <w:gridCol w:w="238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1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600"/>
                    <w:gridCol w:w="2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估值日/开放日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200"/>
                    <w:gridCol w:w="22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产品份额净值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产品累计净值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380"/>
                    <w:gridCol w:w="238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产品资产净值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1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5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2022年3月30日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1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1.05742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9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1.05742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36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4,584,093,997.82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0.04%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3.27%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96.69%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2022年4月22日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TH">
    <w:name w:val="Table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TD">
    <w:name w:val="Table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CH">
    <w:name w:val="Table_CH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