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7,821,295,481.32份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产品9K218071自成立日以来，累计净值增长率为11.6820%，年化累计净值增长率为5.0282%。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0.99990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1.11682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7,820,548,191.44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1,400,288,400.00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497,570,010.00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417,968,880.00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329,964,360.00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300,107,100.00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291,986,500.00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273,140,935.26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205,054,325.00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192,029,200.00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22浙奉化区投ZR001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