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兴业银行天天万利宝稳利5号U款净值型理财产品2022年第一季度报告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兴业银行天天万利宝稳利5号U款净值型理财产品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兴业银行天天万利宝稳利5号U款净值型理财产品2022年第一季度报告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2000" w:type="dxa"/>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兴业银行天天万利宝稳利5号U款净值型理财产品2022年第一季度报告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兴业银行天天万利宝稳利5号U款净值型理财产品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9K219063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Z7002020000071</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1,483,123,085.53份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200" w:type="dxa"/>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产品9K219063自成立日以来，累计净值增长率为7.6190%，年化累计净值增长率为3.6785%。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7"/>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3" w:name="JR_PAGE_ANCHOR_0_4"/>
            <w:bookmarkEnd w:id="3"/>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兴业银行天天万利宝稳利5号U款净值型理财产品2022年第一季度报告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1.00619</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1.07619</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1,492,298,837.04</w:t>
            </w: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r>
              <w:rPr>
                <w:rFonts w:ascii="宋体" w:hAnsi="宋体" w:eastAsia="宋体" w:cs="宋体"/>
                <w:color w:val="000000"/>
                <w:sz w:val="21"/>
              </w:rPr>
              <w:br w:type="textWrapping"/>
            </w:r>
            <w:r>
              <w:rPr>
                <w:rFonts w:ascii="宋体" w:hAnsi="宋体" w:eastAsia="宋体" w:cs="宋体"/>
                <w:color w:val="000000"/>
                <w:sz w:val="21"/>
              </w:rP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7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6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一季度以来稳增长和维护金融市场稳定的信号相对积极，但市场对短期经济增速预计逐步转弱。外围地缘冲突仍未现缓解趋势，上游大宗价格仍然保持相对高位，市场对前期中游制造盈利能力修复的预期落空。市场在经历前期急跌后展开弱反弹，短期维持震荡格局。市场整体估值虽然处于历史较低水平，但分化较为显著，机构重仓为代</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2600" w:type="dxa"/>
            <w:gridSpan w:val="5"/>
          </w:tcPr>
          <w:p>
            <w:pPr>
              <w:pStyle w:val="4"/>
            </w:pPr>
          </w:p>
        </w:tc>
        <w:tc>
          <w:tcPr>
            <w:tcW w:w="800" w:type="dxa"/>
            <w:gridSpan w:val="2"/>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兴业银行天天万利宝稳利5号U款净值型理财产品2022年第一季度报告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260" w:hRule="atLeast"/>
        </w:trPr>
        <w:tc>
          <w:tcPr>
            <w:tcW w:w="1" w:type="dxa"/>
          </w:tcPr>
          <w:p>
            <w:pPr>
              <w:pStyle w:val="4"/>
            </w:pPr>
            <w:bookmarkStart w:id="7" w:name="_GoBack" w:colFirst="1" w:colLast="8"/>
          </w:p>
        </w:tc>
        <w:tc>
          <w:tcPr>
            <w:tcW w:w="10700" w:type="dxa"/>
            <w:gridSpan w:val="19"/>
            <w:vMerge w:val="restart"/>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表的茅指数和宁组合的估值水平仍位于过去五年的均值上方，本轮市场整体估值水平处于历史较低水平有部分原因归为上游周期股的盈利能力较为突出。</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r>
              <w:rPr>
                <w:rFonts w:ascii="宋体" w:hAnsi="宋体" w:eastAsia="宋体" w:cs="宋体"/>
                <w:color w:val="000000"/>
                <w:sz w:val="21"/>
              </w:rPr>
              <w:br w:type="textWrapping"/>
            </w:r>
            <w:r>
              <w:rPr>
                <w:rFonts w:ascii="宋体" w:hAnsi="宋体" w:eastAsia="宋体" w:cs="宋体"/>
                <w:color w:val="000000"/>
                <w:sz w:val="21"/>
              </w:rPr>
              <w:t xml:space="preserve">    我们认为当前需要更有耐心地看待未来投资机会，风格上，非机构重仓个股可能阶段性表现会占优。行业和投资线索上以均衡为主，一方面相对看好短期需求因疫情受损但长期需求仍然较为稳定的行业，当下股价反应悲观预期后有望逐步恢复，以酒店、食品饮料、交运为代表。另一方面由于美联储加息和收表逐步临近，中美利差收窄至较低水平，高估值公司面临估值阶段性收缩压力，关注估值较低的家电、银行、有色中的龙头个股和前期股价跌幅较大而估值回到历史较低水平的电子行业中的龙头个股。但从较长维度看，当前市场的预期收益率已经变的有吸引</w:t>
            </w:r>
          </w:p>
          <w:p>
            <w:pPr>
              <w:spacing w:before="0" w:after="0" w:line="320" w:lineRule="exact"/>
              <w:ind w:firstLine="0"/>
              <w:jc w:val="left"/>
            </w:pPr>
            <w:r>
              <w:rPr>
                <w:rFonts w:ascii="宋体" w:hAnsi="宋体" w:eastAsia="宋体" w:cs="宋体"/>
                <w:color w:val="000000"/>
                <w:sz w:val="21"/>
              </w:rPr>
              <w:t>力，我们仍将坚持既定投资策略，在行业间均衡配置，选择各行业中具备长期竞争力的公司，分享中国经济转型升级带动的红利。</w:t>
            </w:r>
          </w:p>
        </w:tc>
        <w:tc>
          <w:tcPr>
            <w:tcW w:w="20" w:type="dxa"/>
            <w:gridSpan w:val="2"/>
          </w:tcPr>
          <w:p>
            <w:pPr>
              <w:pStyle w:val="4"/>
            </w:pPr>
          </w:p>
        </w:tc>
        <w:tc>
          <w:tcPr>
            <w:tcW w:w="1" w:type="dxa"/>
          </w:tcPr>
          <w:p>
            <w:pPr>
              <w:pStyle w:val="4"/>
            </w:pPr>
          </w:p>
        </w:tc>
      </w:tr>
      <w:bookmarkEnd w:id="7"/>
      <w:tr>
        <w:tblPrEx>
          <w:tblLayout w:type="fixed"/>
          <w:tblCellMar>
            <w:top w:w="0" w:type="dxa"/>
            <w:left w:w="10" w:type="dxa"/>
            <w:bottom w:w="0" w:type="dxa"/>
            <w:right w:w="10" w:type="dxa"/>
          </w:tblCellMar>
        </w:tblPrEx>
        <w:trPr>
          <w:gridAfter w:val="2"/>
          <w:wAfter w:w="20" w:type="dxa"/>
          <w:trHeight w:val="900" w:hRule="atLeast"/>
        </w:trPr>
        <w:tc>
          <w:tcPr>
            <w:tcW w:w="1" w:type="dxa"/>
          </w:tcPr>
          <w:p>
            <w:pPr>
              <w:pStyle w:val="4"/>
            </w:pPr>
          </w:p>
        </w:tc>
        <w:tc>
          <w:tcPr>
            <w:tcW w:w="10700" w:type="dxa"/>
            <w:gridSpan w:val="19"/>
            <w:vMerge w:val="continue"/>
            <w:tcBorders/>
            <w:tcMar>
              <w:top w:w="0" w:type="dxa"/>
              <w:left w:w="0" w:type="dxa"/>
              <w:bottom w:w="0" w:type="dxa"/>
              <w:right w:w="0" w:type="dxa"/>
            </w:tcMar>
            <w:vAlign w:val="top"/>
          </w:tcPr>
          <w:p>
            <w:pPr>
              <w:spacing w:before="0" w:after="0" w:line="320" w:lineRule="exact"/>
              <w:ind w:firstLine="0"/>
              <w:jc w:val="left"/>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86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5" w:name="JR_PAGE_ANCHOR_0_6"/>
            <w:bookmarkEnd w:id="5"/>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兴业银行天天万利宝稳利5号U款净值型理财产品2022年第一季度报告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0" w:hRule="exact"/>
        </w:trPr>
        <w:tc>
          <w:tcPr>
            <w:tcW w:w="1" w:type="dxa"/>
          </w:tcPr>
          <w:p>
            <w:pPr>
              <w:pStyle w:val="4"/>
            </w:pPr>
          </w:p>
        </w:tc>
        <w:tc>
          <w:tcPr>
            <w:tcW w:w="20" w:type="dxa"/>
          </w:tcPr>
          <w:p>
            <w:pPr>
              <w:pStyle w:val="4"/>
            </w:pPr>
          </w:p>
        </w:tc>
        <w:tc>
          <w:tcPr>
            <w:tcW w:w="10700" w:type="dxa"/>
            <w:gridSpan w:val="20"/>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6.71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13.29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23.26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23.26</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35.24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35.24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23.15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23.15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6.58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640"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130,000,395.00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8.71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6.70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99,059,905.99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6.64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90,000,335.00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76,083,068.00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兴业银行天天万利宝稳利5号U款净值型理财产品2022年第一季度报告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0"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富国新动力C 001510.OF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55,096,592.80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银华鑫锐灵活配置C 014349.OF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51,341,049.38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远海租63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40,396,160.00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华安聚嘉精选C（011252.OF）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37,019,992.99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17鄂州管廊债</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33,758,760.00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9K219063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22格盟SCP002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9K219063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21华电云南MTN001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9K219063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21新疆有色MTN001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9K219063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21海鸿投资MTN001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21"/>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051010100100956949</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兴业理财托管专户天天万利宝稳利5号净值型U款</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6"/>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26F7423F"/>
    <w:rsid w:val="3A024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4130</Words>
  <Characters>4732</Characters>
  <TotalTime>0</TotalTime>
  <ScaleCrop>false</ScaleCrop>
  <LinksUpToDate>false</LinksUpToDate>
  <CharactersWithSpaces>4881</CharactersWithSpaces>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2022-04-18T11:22:00Z</dcterms:created>
  <dc:creator>Administrator</dc:creator>
  <cp:lastModifiedBy>吴姗</cp:lastModifiedBy>
  <dcterms:modified xsi:type="dcterms:W3CDTF">2022-04-19T01:02:42Z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2052-10.8.2.6726</vt:lpwstr>
  </property>
  <property fmtid="{D5CDD505-2E9C-101B-9397-08002B2CF9AE}" pid="4" name="ICV">
    <vt:lpwstr>B1379A5C330044BA90DBB8ECBCE54B7B</vt:lpwstr>
  </property>
</Properties>
</file>