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兴业银行天天万利宝稳利6号净值型理财产品E款</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兴业银行天天万利宝稳利6号净值型理财产品E款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24,440,120,169.4份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季季高C款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1,952,701,933.74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季季高C款（代发工资专属）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1,582,985,978.35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季季高C款（增强）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20,904,432,257.31</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产品9K219175自成立日以来，累计净值增长率为5.1210%，年化累计净值增长率为3.5135%。</w:t>
              <w:br/>
              <w:t xml:space="preserve">产品9K219275自成立日以来，累计净值增长率为5.3270%，年化累计净值增长率为3.6548%。</w:t>
              <w:br/>
              <w:t xml:space="preserve">产品9K219375自成立日以来，累计净值增长率为3.6140%，年化累计净值增长率为3.6041%。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25,380,012,401.35</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2,052,700,466.33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1,667,313,131.41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21,659,998,803.61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4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一、市场观点</w:t>
              <w:b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br/>
              <w:t xml:space="preserve">二、运作回顾</w:t>
              <w:b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br/>
              <w:t xml:space="preserve">三、展望投资策略</w:t>
              <w:br/>
              <w:t xml:space="preserve">    展望二季度，产品将继续保持稳健的投资风格。1、发挥票息策略优势，同时维持中性偏谨慎的杠杆水平与组合久期。2、把握住利率反弹时的配置机会，关注市场波动带来的交易机会。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3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4,290,786,286.60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1,662,350,879.54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1,503,206,309.68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光大永明资产永聚固收77号集合资产管理产品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1,377,947,292.26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1,269,833,630.00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1,034,850,804.73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969,871,960.00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869,939,100.00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643,053,368.75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21晋能煤业CP004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21溧水城建CP003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21现代投资SCP002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21铜陵建投SCP003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20工商银行二级01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20厦门国贸ABN001优先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Z存放同业（线上）20220218002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Z存放同业（线上）20220224003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Z存放同业（线上）20220216001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051010100100916711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兴业理财托管专户天天万利宝稳利6号E款</w:t>
                        </w:r>
                      </w:p>
                    </w:tc>
                  </w:tr>
                </w:tbl>
                <w:p>
                  <w:pPr>
                    <w:pStyle w:val="EMPTY_CELL_STYLE"/>
                  </w:pPr>
                </w:p>
              </w:tc>
            </w:tr>
          </w:tbl>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