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Pr>
            <w:bookmarkStart w:id="0" w:name="JR_PAGE_ANCHOR_0_1"/>
            <w:bookmarkEnd w:id="0"/>
          </w:p>
        </w:tc>
        <w:tc>
          <w:tcPr>
            <w:tcW w:w="302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兴银理财睿盈优选平衡5号混合类净值型理财产品2022年第一季度报告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20" w:hRule="atLeast"/>
        </w:trPr>
        <w:tc>
          <w:tcPr>
            <w:tcW w:w="1" w:type="dxa"/>
          </w:tcPr>
          <w:p>
            <w:pPr>
              <w:pStyle w:val="4"/>
            </w:pPr>
          </w:p>
        </w:tc>
        <w:tc>
          <w:tcPr>
            <w:tcW w:w="10700" w:type="dxa"/>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兴银理财睿盈优选平衡5号混合类净值型理财产品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6"/>
          </w:tcPr>
          <w:p>
            <w:pPr>
              <w:pStyle w:val="4"/>
            </w:pPr>
          </w:p>
        </w:tc>
        <w:tc>
          <w:tcPr>
            <w:tcW w:w="7000" w:type="dxa"/>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6"/>
          </w:tcPr>
          <w:p>
            <w:pPr>
              <w:pStyle w:val="4"/>
            </w:pPr>
          </w:p>
        </w:tc>
        <w:tc>
          <w:tcPr>
            <w:tcW w:w="7000" w:type="dxa"/>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6"/>
          </w:tcPr>
          <w:p>
            <w:pPr>
              <w:pStyle w:val="4"/>
            </w:pPr>
          </w:p>
        </w:tc>
        <w:tc>
          <w:tcPr>
            <w:tcW w:w="7000" w:type="dxa"/>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6"/>
          </w:tcPr>
          <w:p>
            <w:pPr>
              <w:pStyle w:val="4"/>
            </w:pPr>
          </w:p>
        </w:tc>
        <w:tc>
          <w:tcPr>
            <w:tcW w:w="380" w:type="dxa"/>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兴银理财睿盈优选平衡5号混合类净值型理财产品2022年第一季度报告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2000" w:type="dxa"/>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4"/>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2" w:name="JR_PAGE_ANCHOR_0_3"/>
            <w:bookmarkEnd w:id="2"/>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兴银理财睿盈优选平衡5号混合类净值型理财产品2022年第一季度报告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兴银理财睿盈优选平衡5号混合类净值型理财产品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9K220005</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Z7002020000094</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9,325,567,800.05份</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2.00%-8.00%</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200" w:type="dxa"/>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产品9K220005自成立日以来，累计净值增长率为3.4730%，年化累计净值增长率为1.9776%。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92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7"/>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3" w:name="JR_PAGE_ANCHOR_0_4"/>
            <w:bookmarkEnd w:id="3"/>
          </w:p>
        </w:tc>
        <w:tc>
          <w:tcPr>
            <w:tcW w:w="2600" w:type="dxa"/>
            <w:gridSpan w:val="5"/>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800" w:type="dxa"/>
            <w:gridSpan w:val="4"/>
          </w:tcPr>
          <w:p>
            <w:pPr>
              <w:pStyle w:val="4"/>
            </w:pPr>
          </w:p>
        </w:tc>
        <w:tc>
          <w:tcPr>
            <w:tcW w:w="1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兴银理财睿盈优选平衡5号混合类净值型理财产品2022年第一季度报告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2600" w:type="dxa"/>
            <w:gridSpan w:val="5"/>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800" w:type="dxa"/>
            <w:gridSpan w:val="4"/>
          </w:tcPr>
          <w:p>
            <w:pPr>
              <w:pStyle w:val="4"/>
            </w:pPr>
          </w:p>
        </w:tc>
        <w:tc>
          <w:tcPr>
            <w:tcW w:w="1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2600" w:type="dxa"/>
            <w:gridSpan w:val="5"/>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800" w:type="dxa"/>
            <w:gridSpan w:val="4"/>
          </w:tcPr>
          <w:p>
            <w:pPr>
              <w:pStyle w:val="4"/>
            </w:pPr>
          </w:p>
        </w:tc>
        <w:tc>
          <w:tcPr>
            <w:tcW w:w="1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2600" w:type="dxa"/>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tcW w:w="2500" w:type="dxa"/>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tcW w:w="2700" w:type="dxa"/>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tcW w:w="2800" w:type="dxa"/>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tcPr>
            <w:tcW w:w="1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2600" w:type="dxa"/>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c>
          <w:tcPr>
            <w:tcW w:w="2500" w:type="dxa"/>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1.01473</w:t>
            </w:r>
          </w:p>
        </w:tc>
        <w:tc>
          <w:tcPr>
            <w:tcW w:w="2700" w:type="dxa"/>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1.03473</w:t>
            </w:r>
          </w:p>
        </w:tc>
        <w:tc>
          <w:tcPr>
            <w:tcW w:w="2800" w:type="dxa"/>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9,462,979,987.41</w:t>
            </w:r>
          </w:p>
        </w:tc>
        <w:tc>
          <w:tcPr>
            <w:tcW w:w="1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exact"/>
        </w:trPr>
        <w:tc>
          <w:tcPr>
            <w:tcW w:w="1" w:type="dxa"/>
          </w:tcPr>
          <w:p>
            <w:pPr>
              <w:pStyle w:val="4"/>
            </w:pPr>
          </w:p>
        </w:tc>
        <w:tc>
          <w:tcPr>
            <w:tcW w:w="2600" w:type="dxa"/>
            <w:gridSpan w:val="5"/>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800" w:type="dxa"/>
            <w:gridSpan w:val="4"/>
          </w:tcPr>
          <w:p>
            <w:pPr>
              <w:pStyle w:val="4"/>
            </w:pPr>
          </w:p>
        </w:tc>
        <w:tc>
          <w:tcPr>
            <w:tcW w:w="1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20" w:hRule="exact"/>
        </w:trPr>
        <w:tc>
          <w:tcPr>
            <w:tcW w:w="1" w:type="dxa"/>
          </w:tcPr>
          <w:p>
            <w:pPr>
              <w:pStyle w:val="4"/>
            </w:pPr>
          </w:p>
        </w:tc>
        <w:tc>
          <w:tcPr>
            <w:tcW w:w="2600" w:type="dxa"/>
            <w:gridSpan w:val="5"/>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800" w:type="dxa"/>
            <w:gridSpan w:val="4"/>
          </w:tcPr>
          <w:p>
            <w:pPr>
              <w:pStyle w:val="4"/>
            </w:pPr>
          </w:p>
        </w:tc>
        <w:tc>
          <w:tcPr>
            <w:tcW w:w="1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240" w:hRule="atLeast"/>
        </w:trPr>
        <w:tc>
          <w:tcPr>
            <w:tcW w:w="1" w:type="dxa"/>
          </w:tcPr>
          <w:p>
            <w:pPr>
              <w:pStyle w:val="4"/>
            </w:pPr>
          </w:p>
        </w:tc>
        <w:tc>
          <w:tcPr>
            <w:tcW w:w="10700" w:type="dxa"/>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周宇先生，复旦大学金融学硕士、北京大学金融学学士，7年FOF/MOM从业经验。2016年加入兴业银行资产管理部权益投资团队担任投资经理。曾任工商银行私人银行部权益投资经理</w:t>
            </w:r>
            <w:r>
              <w:rPr>
                <w:rFonts w:ascii="宋体" w:hAnsi="宋体" w:eastAsia="宋体" w:cs="宋体"/>
                <w:color w:val="000000"/>
                <w:sz w:val="21"/>
              </w:rPr>
              <w:br w:type="textWrapping"/>
            </w:r>
            <w:r>
              <w:rPr>
                <w:rFonts w:ascii="宋体" w:hAnsi="宋体" w:eastAsia="宋体" w:cs="宋体"/>
                <w:color w:val="000000"/>
                <w:sz w:val="21"/>
              </w:rPr>
              <w:t xml:space="preserve">    胡轶韬，CFA，华东师范大学经济学硕士，12年证券投资经验。历任平安养老保险股份有限公司权益投资部高级投资经理，中泰证券资产管理公司基金业务部总经理助理。曾担任平安安赢股票型养老金产品、LIFE-STYLE进取混合型养老金产品投资经理，任职期间收益率排名领先。2021年5月加入兴银理财有限责任公司，任资深股票投资经理，通过自上而下与自下而上相结合的方法构建组合，注重公司竞争优势研究，擅长相对收益和绝对收益产品管理。</w:t>
            </w:r>
            <w:r>
              <w:rPr>
                <w:rFonts w:ascii="宋体" w:hAnsi="宋体" w:eastAsia="宋体" w:cs="宋体"/>
                <w:color w:val="000000"/>
                <w:sz w:val="21"/>
              </w:rPr>
              <w:br w:type="textWrapping"/>
            </w: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720" w:hRule="exact"/>
        </w:trPr>
        <w:tc>
          <w:tcPr>
            <w:tcW w:w="1" w:type="dxa"/>
          </w:tcPr>
          <w:p>
            <w:pPr>
              <w:pStyle w:val="4"/>
            </w:pPr>
          </w:p>
        </w:tc>
        <w:tc>
          <w:tcPr>
            <w:tcW w:w="2600" w:type="dxa"/>
            <w:gridSpan w:val="5"/>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800" w:type="dxa"/>
            <w:gridSpan w:val="4"/>
          </w:tcPr>
          <w:p>
            <w:pPr>
              <w:pStyle w:val="4"/>
            </w:pPr>
          </w:p>
        </w:tc>
        <w:tc>
          <w:tcPr>
            <w:tcW w:w="1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20" w:hRule="exact"/>
        </w:trPr>
        <w:tc>
          <w:tcPr>
            <w:tcW w:w="1" w:type="dxa"/>
          </w:tcPr>
          <w:p>
            <w:pPr>
              <w:pStyle w:val="4"/>
            </w:pPr>
          </w:p>
        </w:tc>
        <w:tc>
          <w:tcPr>
            <w:tcW w:w="2600" w:type="dxa"/>
            <w:gridSpan w:val="5"/>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800" w:type="dxa"/>
            <w:gridSpan w:val="4"/>
          </w:tcPr>
          <w:p>
            <w:pPr>
              <w:pStyle w:val="4"/>
            </w:pPr>
          </w:p>
        </w:tc>
        <w:tc>
          <w:tcPr>
            <w:tcW w:w="1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7000" w:hRule="atLeast"/>
        </w:trPr>
        <w:tc>
          <w:tcPr>
            <w:tcW w:w="1" w:type="dxa"/>
          </w:tcPr>
          <w:p>
            <w:pPr>
              <w:pStyle w:val="4"/>
            </w:pPr>
          </w:p>
        </w:tc>
        <w:tc>
          <w:tcPr>
            <w:tcW w:w="10700" w:type="dxa"/>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固收方面，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权益方面，22年国内经济持续承压，地产和疫情反复影响经济的需求预期，民营房企流动性危机尚未解除，地产基本面数据仍较差；本轮疫情对经济影响可能仍持续月余，预期拐点也将临近。预计4月稳增长相关政策包括税、费、基建、地产限购限贷政策及其他产业政策等将加码，疫情修复及防控政策变化对消费恢复影响较大。</w:t>
            </w:r>
            <w:r>
              <w:rPr>
                <w:rFonts w:ascii="宋体" w:hAnsi="宋体" w:eastAsia="宋体" w:cs="宋体"/>
                <w:color w:val="000000"/>
                <w:sz w:val="21"/>
              </w:rPr>
              <w:br w:type="textWrapping"/>
            </w:r>
            <w:r>
              <w:rPr>
                <w:rFonts w:ascii="宋体" w:hAnsi="宋体" w:eastAsia="宋体" w:cs="宋体"/>
                <w:color w:val="000000"/>
                <w:sz w:val="21"/>
              </w:rPr>
              <w:t xml:space="preserve">    全球方面，油价上涨推动通胀预期飙升导致美债收益率持续上行，美联储持续加息的预期及必要性不断升高。后续若地缘冲突缓和、油价下跌，利率上升风险将下降，通胀、滞涨预期及风险将下降。</w:t>
            </w:r>
            <w:r>
              <w:rPr>
                <w:rFonts w:ascii="宋体" w:hAnsi="宋体" w:eastAsia="宋体" w:cs="宋体"/>
                <w:color w:val="000000"/>
                <w:sz w:val="21"/>
              </w:rPr>
              <w:br w:type="textWrapping"/>
            </w:r>
            <w:r>
              <w:rPr>
                <w:rFonts w:ascii="宋体" w:hAnsi="宋体" w:eastAsia="宋体" w:cs="宋体"/>
                <w:color w:val="000000"/>
                <w:sz w:val="21"/>
              </w:rPr>
              <w:t xml:space="preserve">    结合去年12月经济会议以及3月金融委表态，稳增长和稳金融市场都是今年政府工作重点，经济压力持续的情况下，预期政策托底空间仍较大，多措并举可期。</w:t>
            </w:r>
            <w:r>
              <w:rPr>
                <w:rFonts w:ascii="宋体" w:hAnsi="宋体" w:eastAsia="宋体" w:cs="宋体"/>
                <w:color w:val="000000"/>
                <w:sz w:val="21"/>
              </w:rPr>
              <w:br w:type="textWrapping"/>
            </w:r>
            <w:r>
              <w:rPr>
                <w:rFonts w:ascii="宋体" w:hAnsi="宋体" w:eastAsia="宋体" w:cs="宋体"/>
                <w:color w:val="000000"/>
                <w:sz w:val="21"/>
              </w:rPr>
              <w:t xml:space="preserve">     一季度以来稳增长和维护金融市场稳定的信号相对积极，但市场对短期经济增速预计逐步转弱。外围地缘冲突仍未现缓解趋势，上游大宗价格仍然保持相对高位，市场对前期中游制造盈利能力修复的预期落空。市场在经历前期急跌后展开弱反弹，短期维持震荡格局。市场整体估值虽然处于历史较低水平，但分化较为显著，机构重仓为代表的茅指数和宁组合的估值水平仍位于过去五年的均值上方，本轮市场整体估值水平处于历史较低水平有部分原因</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2600" w:type="dxa"/>
            <w:gridSpan w:val="5"/>
          </w:tcPr>
          <w:p>
            <w:pPr>
              <w:pStyle w:val="4"/>
            </w:pPr>
          </w:p>
        </w:tc>
        <w:tc>
          <w:tcPr>
            <w:tcW w:w="800" w:type="dxa"/>
            <w:gridSpan w:val="2"/>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400" w:type="dxa"/>
          </w:tcPr>
          <w:p>
            <w:pPr>
              <w:pStyle w:val="4"/>
            </w:pPr>
          </w:p>
        </w:tc>
        <w:tc>
          <w:tcPr>
            <w:tcW w:w="2800" w:type="dxa"/>
            <w:gridSpan w:val="4"/>
          </w:tcPr>
          <w:p>
            <w:pPr>
              <w:pStyle w:val="4"/>
            </w:pPr>
          </w:p>
        </w:tc>
        <w:tc>
          <w:tcPr>
            <w:tcW w:w="1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4" w:name="JR_PAGE_ANCHOR_0_5"/>
            <w:bookmarkEnd w:id="4"/>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兴银理财睿盈优选平衡5号混合类净值型理财产品2022年第一季度报告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7920" w:hRule="atLeast"/>
        </w:trPr>
        <w:tc>
          <w:tcPr>
            <w:tcW w:w="1" w:type="dxa"/>
          </w:tcPr>
          <w:p>
            <w:pPr>
              <w:pStyle w:val="4"/>
            </w:pPr>
            <w:bookmarkStart w:id="8" w:name="_GoBack" w:colFirst="1" w:colLast="8"/>
          </w:p>
        </w:tc>
        <w:tc>
          <w:tcPr>
            <w:tcW w:w="10700" w:type="dxa"/>
            <w:gridSpan w:val="19"/>
            <w:vMerge w:val="restart"/>
            <w:tcMar>
              <w:top w:w="0" w:type="dxa"/>
              <w:left w:w="0" w:type="dxa"/>
              <w:bottom w:w="0" w:type="dxa"/>
              <w:right w:w="0" w:type="dxa"/>
            </w:tcMar>
            <w:vAlign w:val="top"/>
          </w:tcPr>
          <w:p>
            <w:pPr>
              <w:spacing w:before="0" w:after="0" w:line="320" w:lineRule="exact"/>
              <w:ind w:firstLine="0"/>
              <w:jc w:val="left"/>
              <w:rPr>
                <w:rFonts w:ascii="宋体" w:hAnsi="宋体" w:eastAsia="宋体" w:cs="宋体"/>
                <w:color w:val="000000"/>
                <w:sz w:val="21"/>
              </w:rPr>
            </w:pPr>
            <w:r>
              <w:rPr>
                <w:rFonts w:ascii="宋体" w:hAnsi="宋体" w:eastAsia="宋体" w:cs="宋体"/>
                <w:color w:val="000000"/>
                <w:sz w:val="21"/>
              </w:rPr>
              <w:t>归为上游周期股的盈利能力较为突出。</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 xml:space="preserve">    权益方面，资产方面商品中基本面支撑的油价迅速上涨后高位震荡。资本市场，尤其基金重仓股在俄乌冲突以来大幅调整，滞涨风险迅速上升。后续上游成本上升风险缓释或下游需求释，资本市场有明显表现机会。</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固收方面，展望二季度，产品将继续保持稳健的投资风格。1、发挥票息策略优势，同时维持中性偏谨慎的杠杆水平与组合久期。2、把握住利率反弹时的配置机会，关注市场波动带来的交易机会。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站在当下看全年，估值、基本面角度看，股票资产性价比较高，稳增长板块年初以来表现较强，预期后续受益于政策发力，其中资源端追涨较难参与；经济拐点出现后，基本面持续强劲的成长板块受益，但全年看风险偏好下降压力持续存在，风格偏好格局稳定、盈利确定的权益类资产。</w:t>
            </w:r>
            <w:r>
              <w:rPr>
                <w:rFonts w:ascii="宋体" w:hAnsi="宋体" w:eastAsia="宋体" w:cs="宋体"/>
                <w:color w:val="000000"/>
                <w:sz w:val="21"/>
              </w:rPr>
              <w:br w:type="textWrapping"/>
            </w:r>
            <w:r>
              <w:rPr>
                <w:rFonts w:ascii="宋体" w:hAnsi="宋体" w:eastAsia="宋体" w:cs="宋体"/>
                <w:color w:val="000000"/>
                <w:sz w:val="21"/>
              </w:rPr>
              <w:t xml:space="preserve">    我们认为当前需要更有耐心地看待未来投资机会，风格上，非机构重仓个股可能阶段性表现会占优。行业和投资线索上以均衡为主，一方面相对看好短期需求因疫情受损但长期需求仍然较为稳定的行业，当下股价反应悲观预期后有望逐步恢复，以酒店、食品饮料、交运为代表。另一方面由于美联储加息和收表逐步临近，中美利差收窄至较低水平，高估值公司面临估值阶段性收缩压力，关注估值较低的家电、银行、有色中的龙头个股和前期股价跌幅较大而估值回到历史较低水平的电子行业中的龙头个股。但从较长维度看，当前市场的预期收益率已经变的有吸引</w:t>
            </w:r>
          </w:p>
          <w:p>
            <w:pPr>
              <w:spacing w:before="0" w:after="0" w:line="320" w:lineRule="exact"/>
              <w:ind w:firstLine="0"/>
              <w:jc w:val="left"/>
            </w:pPr>
            <w:r>
              <w:rPr>
                <w:rFonts w:ascii="宋体" w:hAnsi="宋体" w:eastAsia="宋体" w:cs="宋体"/>
                <w:color w:val="000000"/>
                <w:sz w:val="21"/>
              </w:rPr>
              <w:t>力，我们仍将坚持既定投资策略，在行业间均衡配置，选择各行业中具备长期竞争力的公司，分享中国经济转型升级带动的红利。</w:t>
            </w:r>
          </w:p>
        </w:tc>
        <w:tc>
          <w:tcPr>
            <w:tcW w:w="20" w:type="dxa"/>
            <w:gridSpan w:val="2"/>
          </w:tcPr>
          <w:p>
            <w:pPr>
              <w:pStyle w:val="4"/>
            </w:pPr>
          </w:p>
        </w:tc>
        <w:tc>
          <w:tcPr>
            <w:tcW w:w="1" w:type="dxa"/>
          </w:tcPr>
          <w:p>
            <w:pPr>
              <w:pStyle w:val="4"/>
            </w:pPr>
          </w:p>
        </w:tc>
      </w:tr>
      <w:bookmarkEnd w:id="8"/>
      <w:tr>
        <w:tblPrEx>
          <w:tblLayout w:type="fixed"/>
          <w:tblCellMar>
            <w:top w:w="0" w:type="dxa"/>
            <w:left w:w="10" w:type="dxa"/>
            <w:bottom w:w="0" w:type="dxa"/>
            <w:right w:w="10" w:type="dxa"/>
          </w:tblCellMar>
        </w:tblPrEx>
        <w:trPr>
          <w:gridAfter w:val="2"/>
          <w:wAfter w:w="20" w:type="dxa"/>
          <w:trHeight w:val="900" w:hRule="atLeast"/>
        </w:trPr>
        <w:tc>
          <w:tcPr>
            <w:tcW w:w="1" w:type="dxa"/>
          </w:tcPr>
          <w:p>
            <w:pPr>
              <w:pStyle w:val="4"/>
            </w:pPr>
          </w:p>
        </w:tc>
        <w:tc>
          <w:tcPr>
            <w:tcW w:w="10700" w:type="dxa"/>
            <w:gridSpan w:val="19"/>
            <w:vMerge w:val="continue"/>
            <w:tcBorders/>
            <w:tcMar>
              <w:top w:w="0" w:type="dxa"/>
              <w:left w:w="0" w:type="dxa"/>
              <w:bottom w:w="0" w:type="dxa"/>
              <w:right w:w="0" w:type="dxa"/>
            </w:tcMar>
            <w:vAlign w:val="top"/>
          </w:tcPr>
          <w:p>
            <w:pPr>
              <w:spacing w:before="0" w:after="0" w:line="320" w:lineRule="exact"/>
              <w:ind w:firstLine="0"/>
              <w:jc w:val="left"/>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58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10700" w:type="dxa"/>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20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5" w:name="JR_PAGE_ANCHOR_0_6"/>
            <w:bookmarkEnd w:id="5"/>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兴银理财睿盈优选平衡5号混合类净值型理财产品2022年第一季度报告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5400" w:hRule="exact"/>
        </w:trPr>
        <w:tc>
          <w:tcPr>
            <w:tcW w:w="1" w:type="dxa"/>
          </w:tcPr>
          <w:p>
            <w:pPr>
              <w:pStyle w:val="4"/>
            </w:pPr>
          </w:p>
        </w:tc>
        <w:tc>
          <w:tcPr>
            <w:tcW w:w="20" w:type="dxa"/>
          </w:tcPr>
          <w:p>
            <w:pPr>
              <w:pStyle w:val="4"/>
            </w:pPr>
          </w:p>
        </w:tc>
        <w:tc>
          <w:tcPr>
            <w:tcW w:w="10700" w:type="dxa"/>
            <w:gridSpan w:val="20"/>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3.82</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12.24</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0.43</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54.60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56.94</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3.08</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3.08</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19.79</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19.80</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7.51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7.51</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11.20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000" w:hRule="atLeast"/>
        </w:trPr>
        <w:tc>
          <w:tcPr>
            <w:tcW w:w="1" w:type="dxa"/>
          </w:tcPr>
          <w:p>
            <w:pPr>
              <w:pStyle w:val="4"/>
            </w:pPr>
          </w:p>
        </w:tc>
        <w:tc>
          <w:tcPr>
            <w:tcW w:w="10700" w:type="dxa"/>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580" w:hRule="atLeast"/>
        </w:trPr>
        <w:tc>
          <w:tcPr>
            <w:tcW w:w="1" w:type="dxa"/>
          </w:tcPr>
          <w:p>
            <w:pPr>
              <w:pStyle w:val="4"/>
            </w:pPr>
          </w:p>
        </w:tc>
        <w:tc>
          <w:tcPr>
            <w:tcW w:w="10700" w:type="dxa"/>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50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3040" w:hRule="exact"/>
        </w:trPr>
        <w:tc>
          <w:tcPr>
            <w:tcW w:w="1" w:type="dxa"/>
          </w:tcPr>
          <w:p>
            <w:pPr>
              <w:pStyle w:val="4"/>
            </w:pPr>
          </w:p>
        </w:tc>
        <w:tc>
          <w:tcPr>
            <w:tcW w:w="10700" w:type="dxa"/>
            <w:gridSpan w:val="19"/>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兴业财富-兴合集合资产管理计划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891,538,658.61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9.42</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Z深-同业借款20210816001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799,979,575.00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8.45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21北京银行CD153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633,174,750.00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6.69</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21江苏银行CD141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633,151,350.00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6.69</w:t>
                        </w:r>
                      </w:p>
                    </w:tc>
                  </w:tr>
                </w:tbl>
                <w:p>
                  <w:pPr>
                    <w:pStyle w:val="4"/>
                  </w:pPr>
                </w:p>
              </w:tc>
            </w:tr>
          </w:tbl>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2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兴银理财睿盈优选平衡5号混合类净值型理财产品2022年第一季度报告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3600" w:hRule="exact"/>
        </w:trPr>
        <w:tc>
          <w:tcPr>
            <w:tcW w:w="1" w:type="dxa"/>
          </w:tcPr>
          <w:p>
            <w:pPr>
              <w:pStyle w:val="4"/>
            </w:pPr>
          </w:p>
        </w:tc>
        <w:tc>
          <w:tcPr>
            <w:tcW w:w="10700" w:type="dxa"/>
            <w:gridSpan w:val="19"/>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兴业基金-兴富99号集合资产管理计划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302,067,518.97</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3.19</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22浦发银行CD033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292,481,100.00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3.09</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20农发清发03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251,008,500.00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2.65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21农发清发100</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250,078,000.00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2.64</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21平安银行CD118</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242,846,000.00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2.57</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22华夏银行CD012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195,014,600.00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2.06</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9K220005</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21兴资01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9K220005</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21万科MTN003</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150,000,000.00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9K220005</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21光明MTN004</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9K220005</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21夏商MTN001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9K220005</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20鲁黄金MTN004</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9K220005</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21保利发展MTN002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174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7" w:name="JR_PAGE_ANCHOR_0_8"/>
            <w:bookmarkEnd w:id="7"/>
          </w:p>
        </w:tc>
        <w:tc>
          <w:tcPr>
            <w:tcW w:w="40" w:type="dxa"/>
            <w:gridSpan w:val="2"/>
          </w:tcPr>
          <w:p>
            <w:pPr>
              <w:pStyle w:val="4"/>
            </w:pPr>
          </w:p>
        </w:tc>
        <w:tc>
          <w:tcPr>
            <w:tcW w:w="3360" w:type="dxa"/>
            <w:gridSpan w:val="5"/>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兴银理财睿盈优选平衡5号混合类净值型理财产品2022年第一季度报告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5"/>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21"/>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051010100101033960</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兴银理财睿盈优选平衡5号混合类净值型理财产品</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3360" w:type="dxa"/>
            <w:gridSpan w:val="5"/>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9"/>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1840" w:hRule="exact"/>
        </w:trPr>
        <w:tc>
          <w:tcPr>
            <w:tcW w:w="1" w:type="dxa"/>
          </w:tcPr>
          <w:p>
            <w:pPr>
              <w:pStyle w:val="4"/>
            </w:pPr>
          </w:p>
        </w:tc>
        <w:tc>
          <w:tcPr>
            <w:tcW w:w="40" w:type="dxa"/>
            <w:gridSpan w:val="2"/>
          </w:tcPr>
          <w:p>
            <w:pPr>
              <w:pStyle w:val="4"/>
            </w:pPr>
          </w:p>
        </w:tc>
        <w:tc>
          <w:tcPr>
            <w:tcW w:w="3360" w:type="dxa"/>
            <w:gridSpan w:val="5"/>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5"/>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6"/>
          </w:tcPr>
          <w:p>
            <w:pPr>
              <w:pStyle w:val="4"/>
            </w:pPr>
          </w:p>
        </w:tc>
        <w:tc>
          <w:tcPr>
            <w:tcW w:w="40" w:type="dxa"/>
            <w:gridSpan w:val="4"/>
          </w:tcPr>
          <w:p>
            <w:pPr>
              <w:pStyle w:val="4"/>
            </w:pPr>
          </w:p>
        </w:tc>
        <w:tc>
          <w:tcPr>
            <w:tcW w:w="1" w:type="dxa"/>
          </w:tcPr>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230D6C98"/>
    <w:rsid w:val="61771C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4167</Words>
  <Characters>4852</Characters>
  <TotalTime>0</TotalTime>
  <ScaleCrop>false</ScaleCrop>
  <LinksUpToDate>false</LinksUpToDate>
  <CharactersWithSpaces>4999</CharactersWithSpaces>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2022-04-18T09:38:00Z</dcterms:created>
  <dc:creator>Administrator</dc:creator>
  <cp:lastModifiedBy>吴姗</cp:lastModifiedBy>
  <dcterms:modified xsi:type="dcterms:W3CDTF">2022-04-19T01:05:33Z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1C188A301D6948B4B5955FB6C74DB269</vt:lpwstr>
  </property>
</Properties>
</file>