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5,967,517,782.73份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5,156,841,301.19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810,676,481.54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产品9K220115自成立日以来，累计净值增长率为4.0340%，年化累计净值增长率为2.3825%。</w:t>
              <w:br/>
              <w:t xml:space="preserve">产品9K220215自成立日以来，累计净值增长率为4.2010%，年化累计净值增长率为2.4812%。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6,090,261,511.45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5,261,741,103.15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828,520,408.30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国内经济增速先稳后降，通胀预期受俄乌争端加速上行。政策方面，货币政策中性低于预期。银行间资金利率总体处于低位，但预期有所反复。债市方面，债券市场收益先下后上，总体小幅上行。股市方面，在滞涨预期及外部格局恶化的情况下，大幅下跌。本报告期内，本组合减持了部分债券资产。</w:t>
              <w:br/>
              <w:t xml:space="preserve">    展望2022年二季度，预计经济增速会逐渐企稳。货币政策方面，考虑到疫情的蔓延，预计维持中性。综合来看，债券偏中性。权益层面，我们认为已经进入筑底阶段。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675,411,367.25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610,485,781.99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499,228,500.00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425,778,434.45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333,400,527.07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205,996,516.35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173,288,737.00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146,509,669.64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120,061,560.00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108,521,210.60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