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2,049,846,388.00份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产品9K220022自成立日以来，累计净值增长率为4.4990%，年化累计净值增长率为5.0998%。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1.04499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1.04499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2,142,072,093.20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b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br/>
              <w:t xml:space="preserve">    资产上，相对更看好权益，底部基本明确等待基本面、技术面好转信号，债券市场可能维持高位震荡的格局，投资策略上偏谨慎，需要积极主动在大类资产和细分资产领域做更好的配置。</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泰康-中国铁建房地产集团商业不动产债权投资计划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205,879,395.77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118,715,160.00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20江阴城投PPN007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30,647,550.00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