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兴银理财悦动2号ESG净值型理财产品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兴银理财悦动2号ESG净值型理财产品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479,774,248.52份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345,897,005.36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133,877,243.16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产品9K22011A自成立日以来，累计净值增长率为2.3790%，年化累计净值增长率为4.5702%。</w:t>
              <w:br/>
              <w:t xml:space="preserve">产品9K22011B自成立日以来，累计净值增长率为2.4060%，年化累计净值增长率为4.6221%。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491,225,162.72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354,126,693.39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137,098,469.33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b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悦动2号自1月初以后逐步降低债券久期，目前维持久期1.0-1.5年；衍生品套利策略不高于5%的比例，由于近期商品市场大幅震荡，带来组合存在一定的波动，后续将根据市场情况，会提升债券久期至中性位置，并博弈市场机会。</w:t>
              <w:br/>
              <w:t xml:space="preserve">    四、市场认知</w:t>
              <w:b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27,668,172.00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25,012,825.00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20,304,620.00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20,058,820.00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20,008,860.00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19,960,760.00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兴银理财悦动2号ESG净值型理财产品2022年第一季度报告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兴银理财悦动2号ESG净值型理财产品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