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产品9K220925自成立日以来，累计净值增长率为1.2780%，年化累计净值增长率为0.9883%。</w:t>
              <w:br/>
              <w:t xml:space="preserve">产品9K220935自成立日以来，累计净值增长率为1.4080%，年化累计净值增长率为1.0888%。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1,271,379,795.31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900,729,081.64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370,650,713.67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1季度，权益方面，权益市场经历了较大幅度的回撤，上证指数跌幅超过10%，沪深300、中证500和中证1000的跌幅在15%左右，深证成指、中小板指、创业板指和科创50等指数跌幅更大。分行业来看，30个行业中仅煤炭、地产和银行三个行业获得正收益，同时市场风格也在一季度发生了转换，受制于国内政策、海外通胀压力带来的美债收益率提升，价值股防御能力凸显，回撤幅度显著小于成长股，在3300多只主动权益产品中，仅不到10只产品获得正收益，截至2022年3月31日，3327只主动权益基金一季度平均收益为-15%。债券方面，债券收益率呈现先下后上的局面，收益率底部震荡。本报告期内，组合降低了部分债券久期。</w:t>
              <w:br/>
              <w:t xml:space="preserve">    展望2022年2季度，权益方面，我们认为社融大幅放量兑现之前，经济预期越差，市场风险偏好越低，像稳增长板块优势越明显，而更大力度的政策和社融大幅放量等预期兑现，市场开始预期经济在未来会好转后，成长和消费的预期才会逐步恢复，总体而言，我们认为权益市场处于底部区域。债券方面，我们认为信用债收益率继续调整的概率很高，组合配置更多的是高等级信用债。本产品将秉承勤勉尽责的态度，坚持风险分散，力争在风险可控的基础上获得相对稳定的超额收益。”</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199,892,611.50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199,888,016.47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189,895,755.54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42,637,905.74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40,731,880.00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35,553,284.66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30,942,008.93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30,529,860.00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