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兴银理财增盈优选17号净值型理财产品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340,089,451.81份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增盈海峡优选17号A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279,998,772.44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增盈海峡优选17号B(私行专属)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60,090,679.37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产品9K220927自成立日以来，累计净值增长率为2.6690%，年化累计净值增长率为2.2761%。</w:t>
              <w:br/>
              <w:t xml:space="preserve">产品9K220937自成立日以来，累计净值增长率为2.7890%，年化累计净值增长率为2.3785%。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349,238,749.55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287,472,020.68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61,766,728.87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一季度，如我们之前判断，国内内生需求偏弱，海外通胀压力增大，美联储开始收紧货币。但俄乌战争，国内疫情反复，经济刺激政策力度偏低等是我们没有预期到的。市场方面，债市在绝对收益的低位附近震荡，反应市场对基本面的悲观预期及货币政策空间预期不足之间的纠结。权益市场则在大量的内外超预期不利因素打压下出现大幅普跌。本报告期内，本组合根据债券市场期限结构及各利差变化情况，在控制整体久期及信用风险的前提下，积极主动择优配置各类债券类属子资产。</w:t>
              <w:br/>
              <w:t xml:space="preserve">    展望二季度，权益市场逐步进入筑底区间，波动可能加大，方向还有待明确。债市则维持之前判断，可能会继续高位震荡，等待经济基本面趋势的确立或货币政策的进一步放松。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21晋山西煤炭进出口ZR001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159,896,330.13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19,046,661.64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10,346,230.00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10,298,200.00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19深圳创投MTN003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10,263,020.00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10,257,090.00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华泰柏瑞精选回报( 001524.OF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10,245,927.07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10,231,540.00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21晋山西煤炭进出口ZR001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