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兴银理财增盈优选18号净值型理财产品2022年第一季度报告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兴银理财增盈优选18号净值型理财产品</w:t>
            </w:r>
            <w:r>
              <w:rPr>
                <w:rFonts w:ascii="宋体" w:hAnsi="宋体" w:eastAsia="宋体" w:cs="宋体"/>
                <w:b/>
                <w:color w:val="000000"/>
                <w:sz w:val="32"/>
              </w:rPr>
              <w:br w:type="textWrapping"/>
            </w:r>
            <w:r>
              <w:rPr>
                <w:rFonts w:ascii="宋体" w:hAnsi="宋体" w:eastAsia="宋体" w:cs="宋体"/>
                <w:b/>
                <w:color w:val="000000"/>
                <w:sz w:val="32"/>
              </w:rPr>
              <w:t>2022年第一季度报告</w:t>
            </w:r>
          </w:p>
        </w:tc>
        <w:tc>
          <w:p>
            <w:pPr>
              <w:pStyle w:val="4"/>
            </w:pPr>
          </w:p>
        </w:tc>
      </w:tr>
      <w:tr>
        <w:tblPrEx>
          <w:tblCellMar>
            <w:top w:w="0" w:type="dxa"/>
            <w:left w:w="10" w:type="dxa"/>
            <w:bottom w:w="0" w:type="dxa"/>
            <w:right w:w="10" w:type="dxa"/>
          </w:tblCellMar>
        </w:tblPrEx>
        <w:trPr>
          <w:gridAfter w:val="3"/>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报告送出日期：2022年4月22日</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兴银理财增盈优选18号净值型理财产品2022年第一季度报告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兴银理财增盈优选18号净值型理财产品2022年第一季度报告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兴银理财增盈优选18号净值型理财产品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9K220918</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Z7002020000179</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927,213,164.87份</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4.20%-7.00%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增盈优选18号A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9K220928</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670,918,574.76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增盈优选18号B(私行专属)</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9K220938</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256,294,590.11</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兴银理财增盈优选18号净值型理财产品2022年第一季度报告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产品9K220928自成立日以来，累计净值增长率为4.2240%，年化累计净值增长率为3.9131%。</w:t>
            </w:r>
            <w:r>
              <w:rPr>
                <w:rFonts w:ascii="宋体" w:hAnsi="宋体" w:eastAsia="宋体" w:cs="宋体"/>
                <w:color w:val="000000"/>
                <w:sz w:val="21"/>
              </w:rPr>
              <w:br w:type="textWrapping"/>
            </w:r>
            <w:r>
              <w:rPr>
                <w:rFonts w:ascii="宋体" w:hAnsi="宋体" w:eastAsia="宋体" w:cs="宋体"/>
                <w:color w:val="000000"/>
                <w:sz w:val="21"/>
              </w:rPr>
              <w:t>产品9K220938自成立日以来，累计净值增长率为4.3360%，年化累计净值增长率为4.0169%。</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9K220918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1.04255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1.04255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966,668,082.74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p>
            <w:pPr>
              <w:pStyle w:val="4"/>
            </w:pPr>
          </w:p>
        </w:tc>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9K220928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1.04224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1.04224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699,259,403.55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9K220938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1.04336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1.04336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267,408,679.19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900" w:hRule="atLeast"/>
        </w:trPr>
        <w:tc>
          <w:p>
            <w:pPr>
              <w:pStyle w:val="4"/>
            </w:pPr>
          </w:p>
        </w:tc>
        <w:tc>
          <w:tcPr>
            <w:gridSpan w:val="15"/>
            <w:tcMar>
              <w:top w:w="0" w:type="dxa"/>
              <w:left w:w="0" w:type="dxa"/>
              <w:bottom w:w="0" w:type="dxa"/>
              <w:right w:w="0" w:type="dxa"/>
            </w:tcMar>
            <w:vAlign w:val="top"/>
          </w:tcPr>
          <w:p>
            <w:pPr>
              <w:spacing w:before="0" w:after="0" w:line="320" w:lineRule="exact"/>
              <w:ind w:firstLine="420"/>
              <w:jc w:val="left"/>
              <w:rPr>
                <w:rFonts w:ascii="宋体" w:hAnsi="宋体" w:eastAsia="宋体" w:cs="宋体"/>
                <w:color w:val="000000"/>
                <w:sz w:val="21"/>
              </w:rPr>
            </w:pPr>
            <w:r>
              <w:rPr>
                <w:rFonts w:ascii="宋体" w:hAnsi="宋体" w:eastAsia="宋体" w:cs="宋体"/>
                <w:color w:val="000000"/>
                <w:sz w:val="21"/>
              </w:rPr>
              <w:t xml:space="preserve">2020一季度，如我们之前所料，央行在年初就进行降息，意图走在利率曲线前面，一月社融也大超预期，政策靠前发力，海外俄乌爆发战争，原油价格飙升，加大海外通胀压力，迫使美联储在三月开启加息周期。市场方面债券先在降息利好下行至低位，但一二月超预期强劲的经济数据带动利率回升至降息前水准，之后在海外加息二月社融偏弱的诸多影响下，整体保持窄幅震荡。权益市场在赛道股估值过高，国内疫情加剧，部分外资流出的影响下，整体出现大幅下跌，仅银行、地产、建筑等少数行业在较强宽信用预期下表现尚可。本报告期内，组合略微降低久期和杠杆率，调节组合权益仓位。                           </w:t>
            </w:r>
          </w:p>
          <w:p>
            <w:pPr>
              <w:spacing w:before="0" w:after="0" w:line="320" w:lineRule="exact"/>
              <w:ind w:firstLine="420"/>
              <w:jc w:val="left"/>
            </w:pPr>
            <w:bookmarkStart w:id="7" w:name="_GoBack"/>
            <w:bookmarkEnd w:id="7"/>
            <w:r>
              <w:rPr>
                <w:rFonts w:ascii="宋体" w:hAnsi="宋体" w:eastAsia="宋体" w:cs="宋体"/>
                <w:color w:val="000000"/>
                <w:sz w:val="21"/>
              </w:rPr>
              <w:t>展望二季度权益，目前在较低位置震荡筑底，短期可以逐步加强配置偏价值，高红利权益资产。债券在未有更多有利货币政策出台，宽信用仍是主基调的前提下，整体易上难下，短久期城投类资产为较优配置选择。本组合将时刻关注市场变化，积极主动调整大类资产配置，优选类属资产，为投资人提供较稳健和有竞争力的回报</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兴银理财增盈优选18号净值型理财产品2022年第一季度报告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4000"/>
              <w:gridCol w:w="31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50.32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52.64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0.46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13.24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32.17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32.17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30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[厦门信托-漳龙集团兴漳一号类永续信托贷款]单一资金信托（漳州分行）</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449,696,472.59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46.52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21延长01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50,671,150.00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景顺长城鼎安1号集合资产管理计划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40,864,993.55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21国债16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40,020,520.00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兴银理财增盈优选18号净值型理财产品2022年第一季度报告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21通用01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39,989,480.00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21HBST01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30,855,780.00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21成都兴城MTN001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30,661,020.00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21苏新01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30,455,100.00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21扬州01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30,269,970.00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22嘉兴经技MTN002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29,994,540.00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9K220918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20哈城投MTN002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9K220918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21陕煤化MTN008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9K220918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21光明房产MTN001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9K220918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21兴城投资MTN002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9K220918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21成都兴城MTN001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051010100101083526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兴银理财增盈优选18号净值型理财产品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6" w:name="JR_PAGE_ANCHOR_0_7"/>
            <w:bookmarkEnd w:id="6"/>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兴银理财增盈优选18号净值型理财产品2022年第一季度报告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2022年4月22日</w:t>
            </w:r>
          </w:p>
        </w:tc>
        <w:tc>
          <w:p>
            <w:pPr>
              <w:pStyle w:val="4"/>
            </w:pPr>
          </w:p>
        </w:tc>
      </w:tr>
      <w:tr>
        <w:tblPrEx>
          <w:tblCellMar>
            <w:top w:w="0" w:type="dxa"/>
            <w:left w:w="10" w:type="dxa"/>
            <w:bottom w:w="0" w:type="dxa"/>
            <w:right w:w="10" w:type="dxa"/>
          </w:tblCellMar>
        </w:tblPrEx>
        <w:trPr>
          <w:gridAfter w:val="3"/>
          <w:trHeight w:val="136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bl>
    <w:p/>
    <w:sectPr>
      <w:pgSz w:w="11900" w:h="16840"/>
      <w:pgMar w:top="600" w:right="60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800"/>
  <w:compat>
    <w:useFELayout/>
    <w:splitPgBreakAndParaMark/>
    <w:compatSetting w:name="compatibilityMode" w:uri="http://schemas.microsoft.com/office/word" w:val="12"/>
  </w:compat>
  <w:rsids>
    <w:rsidRoot w:val="00000000"/>
    <w:rsid w:val="7BAC4B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2342</Words>
  <Characters>3053</Characters>
  <TotalTime>0</TotalTime>
  <ScaleCrop>false</ScaleCrop>
  <LinksUpToDate>false</LinksUpToDate>
  <CharactersWithSpaces>3177</CharactersWithSpaces>
  <Application>WPS Office_11.1.0.11636_F1E327BC-269C-435d-A152-05C5408002CA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2022-04-18T09:45:07Z</dcterms:created>
  <dc:creator>Administrator</dc:creator>
  <cp:lastModifiedBy>Administrator</cp:lastModifiedBy>
  <dcterms:modified xsi:type="dcterms:W3CDTF">2022-04-18T09:45:22Z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eyJoZGlkIjoiYzhlZjE2NzA4YjlmNzdkZWI0ZGJiOTI3NDc0M2Q1NDYifQ==</vt:lpwstr>
  </property>
  <property fmtid="{D5CDD505-2E9C-101B-9397-08002B2CF9AE}" pid="3" name="KSOProductBuildVer">
    <vt:lpwstr>2052-11.1.0.11636</vt:lpwstr>
  </property>
  <property fmtid="{D5CDD505-2E9C-101B-9397-08002B2CF9AE}" pid="4" name="ICV">
    <vt:lpwstr>8A2901D033534A2BA08A3D1A43F9AFFD</vt:lpwstr>
  </property>
</Properties>
</file>