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3,366,923,691.36份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产品9K221003自成立日以来，累计净值增长率为-2.0750%，年化累计净值增长率为-1.9984%。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0.97925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0.97925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3,297,070,030.56</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bookmarkStart w:id="6" w:name="_GoBack"/>
            <w:bookmarkEnd w:id="6"/>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 xml:space="preserve">    站在当下看全年，估值、基本面角度看，股票资产性价比较高，稳增长板块年初以来表现较强，预期后续受益于政策发力，其中资源端追涨胶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3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汇添富-兴汇100号集合资产管理计划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2,675,178,791.22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051010100101175870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800"/>
  <w:compat>
    <w:useFELayout/>
    <w:splitPgBreakAndParaMark/>
    <w:compatSetting w:name="compatibilityMode" w:uri="http://schemas.microsoft.com/office/word" w:val="12"/>
  </w:compat>
  <w:rsids>
    <w:rsidRoot w:val="00000000"/>
    <w:rsid w:val="0C655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2287</Words>
  <Characters>2710</Characters>
  <TotalTime>0</TotalTime>
  <ScaleCrop>false</ScaleCrop>
  <LinksUpToDate>false</LinksUpToDate>
  <CharactersWithSpaces>2824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2022-04-18T09:46:06Z</dcterms:created>
  <dc:creator>Administrator</dc:creator>
  <cp:lastModifiedBy>Administrator</cp:lastModifiedBy>
  <dcterms:modified xsi:type="dcterms:W3CDTF">2022-04-18T09:46:22Z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46A059DA761B420084AED0D98AB55653</vt:lpwstr>
  </property>
</Properties>
</file>