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兴银理财增盈优选25号净值型理财产品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1,580,842,590.07份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4.40%-6.00%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增盈优选25号A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9K221125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1,288,364,979.32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增盈优选25号B（私行专属）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9K221225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292,477,610.75</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产品9K221125自成立日以来，累计净值增长率为1.7890%，年化累计净值增长率为2.3919%。</w:t>
              <w:br/>
              <w:t xml:space="preserve">产品9K221225自成立日以来，累计净值增长率为1.8950%，年化累计净值增长率为2.5336%。</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1,609,432,185.40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1,311,413,392.08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9K221225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298,018,793.32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2020一季度，如我们之前所料，央行在年初就进行降息，意图走在利率曲线前面，一月社融也大超预期，政策靠前发力，海外俄乌爆发战争，原油价格飙升，加大海外通胀压力，迫使美联储在三月开启加息周期。市场方面债券先在降息利好下行至低位，但一二月超预期强劲的经济数据带动利率回升至降息前水准，之后在海外加息二月社融偏弱的诸多影响下，整体保持窄幅震荡。权益市场在赛道股估值过高，国内疫情加剧，部分外资流出的影响下，整体出现大幅下跌，仅银行、地产、建筑等少数行业在较强宽信用预期下表现尚可。本报告期内，组合略微降低久期和杠杆率，调节组合权益仓位。</w:t>
              <w:br/>
              <w:t xml:space="preserve">    展望二季度权益，目前在较低位置震荡筑底，短期可以逐步加强配置偏价值，高红利权益资产。债券在未有更多有利货币政策出台，宽信用仍是主基调的前提下，整体易上难下，短久期城投类资产为较优配置选择。本组合将时刻关注市场变化，积极主动调整大类资产配置，优选类属资产，为投资人提供较稳健和有竞争力的回报</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123,022,158.07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79,040,527.00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交行优1（交通银行优先股）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45,283,185.00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21嘉秀发展MTN002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40,383,120.00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21岳阳02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40,297,520.00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40,179,766.30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21舟投01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39,998,680.00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农行优2（农业银行优先股）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38,041,534.00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19胶州湾MTN001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30,941,340.00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20黄冈城投PPN002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30,727,890.00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9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19新投MTN001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21可克达拉MTN001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21太仓水务MTN001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21如皋交通PPN001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21徐州新盛PPN002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21惠山国投MTN002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21溧阳城建PPN001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21生产兵团MTN001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兴银理财增盈优选25号净值型理财产品2022年第一季度报告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21福清国资MTN001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22栾川钼业MTN001(可持续挂钩)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5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