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260"/>
        <w:gridCol w:w="1"/>
      </w:tblGrid>
      <w:tr>
        <w:tblPrEx>
          <w:tblCellMar>
            <w:top w:w="0" w:type="dxa"/>
            <w:left w:w="10" w:type="dxa"/>
            <w:bottom w:w="0" w:type="dxa"/>
            <w:right w:w="10" w:type="dxa"/>
          </w:tblCellMar>
        </w:tblPrEx>
        <w:trPr>
          <w:gridAfter w:val="5"/>
          <w:wAfter w:w="300" w:type="dxa"/>
          <w:trHeight w:val="0" w:hRule="atLeast"/>
        </w:trPr>
        <w:tc>
          <w:p>
            <w:pPr>
              <w:pStyle w:val="4"/>
            </w:pPr>
            <w:bookmarkStart w:id="0" w:name="JR_PAGE_ANCHOR_0_1"/>
            <w:bookmarkEnd w:id="0"/>
            <w:bookmarkStart w:id="8" w:name="_GoBack"/>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兴业银行“现金宝4号”私人银行类人民币理财产品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5"/>
          <w:wAfter w:w="300" w:type="dxa"/>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兴业银行股份有限公司保留对所有文字说明的最终解释权。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兴业银行“现金宝4号”私人银行类人民币理财产品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84212041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C1030912001325</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18,615,889,366.89份</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wAfter w:w="300" w:type="dxa"/>
          <w:trHeight w:val="29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5"/>
          <w:wAfter w:w="300" w:type="dxa"/>
          <w:trHeight w:val="5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报告期内，84212041七日年化收益率均值2.8954%。同期业绩比较基准如下：</w:t>
            </w:r>
          </w:p>
        </w:tc>
        <w:tc>
          <w:p>
            <w:pPr>
              <w:pStyle w:val="4"/>
            </w:pPr>
          </w:p>
        </w:tc>
      </w:tr>
      <w:tr>
        <w:tblPrEx>
          <w:tblCellMar>
            <w:top w:w="0" w:type="dxa"/>
            <w:left w:w="10" w:type="dxa"/>
            <w:bottom w:w="0" w:type="dxa"/>
            <w:right w:w="10" w:type="dxa"/>
          </w:tblCellMar>
        </w:tblPrEx>
        <w:trPr>
          <w:gridAfter w:val="5"/>
          <w:wAfter w:w="300" w:type="dxa"/>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2022-01-01至2022-03-31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rPr>
          <w:gridAfter w:val="5"/>
          <w:wAfter w:w="300" w:type="dxa"/>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0.8523</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2.8220%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18,615,889,366.89</w:t>
            </w:r>
          </w:p>
        </w:tc>
        <w:tc>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5"/>
          <w:wAfter w:w="30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5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汪锦女士，上海财经大学经济学硕士，国际金融理财师（CFP），中级经济师职称。银行理财产品创设、投资从业11年。 2005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业银行添利5号净值型理财产品、兴业银行“现金宝4号”私人银行类人民币理财产品、兴银理财添利9号净值型理财产品和兴银理财添利10号净值型理财产品投资经理。</w:t>
            </w: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5"/>
          <w:wAfter w:w="300" w:type="dxa"/>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57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2022年第一季度，债券市场收益率先下后上，1月中旬央行下调MLF和逆回购利率10bp，宽货币先行带动十年国债收益率下行至1月下旬低点2.68%，随后1月社融及贷款数据超预期叠加美国通胀加剧，美联储加息预期升温，十年国债收益率触底回升至2.80%中枢波动。2月下旬至3月，市场经历着多空力量的来回拉扯，在权益市场调整诱发广义基金赎回、部分城市首付款比例降低引发宽信用担忧、海外美债收益率上行，以及2月社融增速低于预期、国内疫情多点散发、俄乌冲突带来的地缘政治风险等多重因素影响下，十年国债收益率在2.75%-2.85%区间维持震荡走势。期限利差方面，由于货币政策呈偏松格局，短端收益率反弹有限，长端反弹较大，期限利差普遍走阔。</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 xml:space="preserve">    展望二季度，国内外形势更趋严峻复杂，国内经济“三重压力”背景下稳增长政策的进一步落地和数据验证将成为博弈重点，尤其关注部分省市疫情散点爆发对宽信用的短期扰动和多地房地产政策边际缓和的落地效果。海外方面，美联储加息缩表节奏预期和地缘政治推升海外通胀中枢等因素对国内政策节奏的影响值得关注。鉴于目前宽信用效果欠佳，金稳会表态“货币政策要主动应对”，二季度货币政策维持偏宽松的确定性较大。总体来看，市场对二季度短端维持震荡的预期较为一致，关注基本面、政策面和投资者行为边际变化带来的投资机会。</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报告期内，本产品始终将保持流动性安全和防范信用风险作为第一要务，在此基础上通过稳健的投资风格实现相对稳定的收益。</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28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5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内，本产品规模呈稳步攀升态势，根据我们对市场的预判一季度收益率大概率震荡走势，管理人根据资产到期和产品申赎灵活调整组合配置，在3月份收益率回升期积极把握市场高点的买入机会构建同业存单、信用债资产，保证了产品收益率的市场竞争力。报告期内本产品日均年化收益率2.90%，组合久期0.7年。</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tab/>
            </w:r>
            <w:r>
              <w:rPr>
                <w:rFonts w:ascii="宋体" w:hAnsi="宋体" w:eastAsia="宋体" w:cs="宋体"/>
                <w:color w:val="000000"/>
                <w:sz w:val="21"/>
              </w:rPr>
              <w:br w:type="textWrapping"/>
            </w:r>
            <w:r>
              <w:rPr>
                <w:rFonts w:ascii="宋体" w:hAnsi="宋体" w:eastAsia="宋体" w:cs="宋体"/>
                <w:color w:val="000000"/>
                <w:sz w:val="21"/>
              </w:rPr>
              <w:t xml:space="preserve">    下阶段本产品依然会保持安全性和流动性优先、兼顾收益性的稳健投资策略，深入研究分析债券市场收益率的变化趋势，综合考量各投资品种的风险收益特征，在此基础上制定科学有效的投资策略。</w:t>
            </w:r>
            <w:r>
              <w:rPr>
                <w:rFonts w:ascii="宋体" w:hAnsi="宋体" w:eastAsia="宋体" w:cs="宋体"/>
                <w:color w:val="000000"/>
                <w:sz w:val="21"/>
              </w:rPr>
              <w:br w:type="textWrapping"/>
            </w:r>
            <w:r>
              <w:rPr>
                <w:rFonts w:ascii="宋体" w:hAnsi="宋体" w:eastAsia="宋体" w:cs="宋体"/>
                <w:color w:val="000000"/>
                <w:sz w:val="21"/>
              </w:rPr>
              <w:t xml:space="preserve">    在具体操作上，关注市场调整机会。从3月发布的宏观数据和中高频数据对比来看，国内的基本面仍存在结构性矛盾，经济复苏有一定阻碍。新一轮国内多地散发疫情的冲击，也给社会经济带来一定的负面影响。随着疫情平复后补偿性增长的释放，叠加稳增长相关政策的发力，债券市场收益率可能会面临调整压力，尤其是宽信用政策带来的信用利差走阔。对于摊余成本估值的现金管理产品，市场利率上行时期是较好的投资窗口期，我们会结合产品实际情况、把握建仓时机，提高产品组合静态收益。</w:t>
            </w:r>
            <w:r>
              <w:rPr>
                <w:rFonts w:ascii="宋体" w:hAnsi="宋体" w:eastAsia="宋体" w:cs="宋体"/>
                <w:color w:val="000000"/>
                <w:sz w:val="21"/>
              </w:rPr>
              <w:br w:type="textWrapping"/>
            </w:r>
            <w:r>
              <w:rPr>
                <w:rFonts w:ascii="宋体" w:hAnsi="宋体" w:eastAsia="宋体" w:cs="宋体"/>
                <w:color w:val="000000"/>
                <w:sz w:val="21"/>
              </w:rPr>
              <w:t xml:space="preserve">    流动性管理方面，货币政策仍然会保持宽松，产品流动性无忧，资产组合中维持一定的杠杆比例增厚产品收益。半年末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3"/>
          <w:wAfter w:w="280" w:type="dxa"/>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30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3200"/>
              <w:gridCol w:w="4000"/>
              <w:gridCol w:w="2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280" w:type="dxa"/>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rPr>
          <w:gridAfter w:val="3"/>
          <w:wAfter w:w="280" w:type="dxa"/>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52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5" w:name="JR_PAGE_ANCHOR_0_6"/>
            <w:bookmarkEnd w:id="5"/>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13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5"/>
          <w:wAfter w:w="300" w:type="dxa"/>
          <w:trHeight w:val="5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5"/>
          <w:wAfter w:w="300" w:type="dxa"/>
          <w:trHeight w:val="66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存放同业20220214002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22广发银行CD042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989,944,464.42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17华夏银行二级01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600,884,789.50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19长城债01(品种一)</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建设银行深圳分行活期存款（约期）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21CSFD203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存放同业20211210001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21重庆银行CD045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499,557,056.28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568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6" w:name="JR_PAGE_ANCHOR_0_7"/>
            <w:bookmarkEnd w:id="6"/>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5"/>
          <w:wAfter w:w="300" w:type="dxa"/>
          <w:trHeight w:val="90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21万科MTN001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21横店SCP004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20东方债02BC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17中节能MTN001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21闽冶金SCP008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18太仓资产MTN002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18江津华信MTN001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19顺德控股MTN001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20滁州城投PPN002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21湖南轨道MTN001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20中国信达债02BC(品种一)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1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兴业银行“现金宝4号”私人银行类人民币理财产品2022年第一季度报告</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051010100100006103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兴业银行股份有限公司理财产品托管专户（现金宝4号）</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兴业银行股份有限公司</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964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tcPr>
            <w:gridSpan w:val="4"/>
          </w:tcPr>
          <w:p>
            <w:pPr>
              <w:pStyle w:val="4"/>
            </w:pPr>
          </w:p>
        </w:tc>
        <w:tc>
          <w:p>
            <w:pPr>
              <w:pStyle w:val="4"/>
            </w:pPr>
          </w:p>
        </w:tc>
        <w:tc>
          <w:p>
            <w:pPr>
              <w:pStyle w:val="4"/>
            </w:pPr>
          </w:p>
        </w:tc>
      </w:tr>
      <w:bookmarkEnd w:id="8"/>
    </w:tbl>
    <w:p/>
    <w:sectPr>
      <w:pgSz w:w="11900" w:h="16840"/>
      <w:pgMar w:top="600" w:right="3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800"/>
  <w:compat>
    <w:useFELayout/>
    <w:splitPgBreakAndParaMark/>
    <w:compatSetting w:name="compatibilityMode" w:uri="http://schemas.microsoft.com/office/word" w:val="12"/>
  </w:compat>
  <w:rsids>
    <w:rsidRoot w:val="00000000"/>
    <w:rsid w:val="1CC62D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3502</Words>
  <Characters>4360</Characters>
  <TotalTime>1</TotalTime>
  <ScaleCrop>false</ScaleCrop>
  <LinksUpToDate>false</LinksUpToDate>
  <CharactersWithSpaces>4497</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2022-04-18T10:28:28Z</dcterms:created>
  <dc:creator>Administrator</dc:creator>
  <cp:lastModifiedBy>Administrator</cp:lastModifiedBy>
  <dcterms:modified xsi:type="dcterms:W3CDTF">2022-04-18T10:29:32Z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eyJoZGlkIjoiYzhlZjE2NzA4YjlmNzdkZWI0ZGJiOTI3NDc0M2Q1NDYifQ==</vt:lpwstr>
  </property>
  <property fmtid="{D5CDD505-2E9C-101B-9397-08002B2CF9AE}" pid="3" name="KSOProductBuildVer">
    <vt:lpwstr>2052-11.1.0.11636</vt:lpwstr>
  </property>
  <property fmtid="{D5CDD505-2E9C-101B-9397-08002B2CF9AE}" pid="4" name="ICV">
    <vt:lpwstr>D0F28FF123F14CD4B3D2321C82B2D0A7</vt:lpwstr>
  </property>
</Properties>
</file>