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820"/>
        <w:gridCol w:w="380"/>
        <w:gridCol w:w="740"/>
        <w:gridCol w:w="260"/>
        <w:gridCol w:w="1000"/>
        <w:gridCol w:w="1000"/>
        <w:gridCol w:w="1000"/>
        <w:gridCol w:w="2620"/>
        <w:gridCol w:w="480"/>
        <w:gridCol w:w="100"/>
        <w:gridCol w:w="100"/>
        <w:gridCol w:w="1"/>
        <w:gridCol w:w="19"/>
        <w:gridCol w:w="1"/>
        <w:gridCol w:w="19"/>
        <w:gridCol w:w="1"/>
        <w:gridCol w:w="119"/>
        <w:gridCol w:w="1"/>
        <w:gridCol w:w="139"/>
        <w:gridCol w:w="1"/>
      </w:tblGrid>
      <w:tr>
        <w:tblPrEx>
          <w:tblCellMar>
            <w:top w:w="0" w:type="dxa"/>
            <w:left w:w="10" w:type="dxa"/>
            <w:bottom w:w="0" w:type="dxa"/>
            <w:right w:w="10" w:type="dxa"/>
          </w:tblCellMar>
        </w:tblPrEx>
        <w:trPr>
          <w:gridAfter w:val="8"/>
          <w:wAfter w:w="300" w:type="dxa"/>
          <w:trHeight w:val="0" w:hRule="atLeast"/>
        </w:trPr>
        <w:tc>
          <w:p>
            <w:pPr>
              <w:pStyle w:val="4"/>
            </w:pPr>
            <w:bookmarkStart w:id="0" w:name="JR_PAGE_ANCHOR_0_1"/>
            <w:bookmarkEnd w:id="0"/>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8"/>
          <w:wAfter w:w="30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兴业银行添利3号净值型理财产品2022年第一季度报告</w:t>
            </w:r>
          </w:p>
        </w:tc>
        <w:tc>
          <w:p>
            <w:pPr>
              <w:pStyle w:val="4"/>
            </w:pPr>
          </w:p>
        </w:tc>
      </w:tr>
      <w:tr>
        <w:tblPrEx>
          <w:tblCellMar>
            <w:top w:w="0" w:type="dxa"/>
            <w:left w:w="10" w:type="dxa"/>
            <w:bottom w:w="0" w:type="dxa"/>
            <w:right w:w="10" w:type="dxa"/>
          </w:tblCellMar>
        </w:tblPrEx>
        <w:trPr>
          <w:gridAfter w:val="8"/>
          <w:wAfter w:w="300" w:type="dxa"/>
          <w:trHeight w:val="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8"/>
          <w:wAfter w:w="30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8"/>
          <w:wAfter w:w="300" w:type="dxa"/>
          <w:trHeight w:val="96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8"/>
          <w:wAfter w:w="300" w:type="dxa"/>
          <w:trHeight w:val="3020" w:hRule="atLeast"/>
        </w:trPr>
        <w:tc>
          <w:p>
            <w:pPr>
              <w:pStyle w:val="4"/>
            </w:pPr>
          </w:p>
        </w:tc>
        <w:tc>
          <w:tcPr>
            <w:gridSpan w:val="15"/>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兴业银行添利3号净值型理财产品</w:t>
            </w:r>
            <w:r>
              <w:rPr>
                <w:rFonts w:ascii="宋体" w:hAnsi="宋体" w:eastAsia="宋体" w:cs="宋体"/>
                <w:b/>
                <w:color w:val="000000"/>
                <w:sz w:val="32"/>
              </w:rPr>
              <w:br w:type="textWrapping"/>
            </w:r>
            <w:r>
              <w:rPr>
                <w:rFonts w:ascii="宋体" w:hAnsi="宋体" w:eastAsia="宋体" w:cs="宋体"/>
                <w:b/>
                <w:color w:val="000000"/>
                <w:sz w:val="32"/>
              </w:rPr>
              <w:t>2022年第一季度报告</w:t>
            </w:r>
          </w:p>
        </w:tc>
        <w:tc>
          <w:p>
            <w:pPr>
              <w:pStyle w:val="4"/>
            </w:pPr>
          </w:p>
        </w:tc>
      </w:tr>
      <w:tr>
        <w:tblPrEx>
          <w:tblCellMar>
            <w:top w:w="0" w:type="dxa"/>
            <w:left w:w="10" w:type="dxa"/>
            <w:bottom w:w="0" w:type="dxa"/>
            <w:right w:w="10" w:type="dxa"/>
          </w:tblCellMar>
        </w:tblPrEx>
        <w:trPr>
          <w:gridAfter w:val="8"/>
          <w:wAfter w:w="300" w:type="dxa"/>
          <w:trHeight w:val="660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3"/>
          </w:tcPr>
          <w:p>
            <w:pPr>
              <w:pStyle w:val="4"/>
            </w:pP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报告送出日期：2022年4月22日</w:t>
            </w:r>
          </w:p>
        </w:tc>
        <w:tc>
          <w:tcPr>
            <w:gridSpan w:val="3"/>
          </w:tcPr>
          <w:p>
            <w:pPr>
              <w:pStyle w:val="4"/>
            </w:pPr>
          </w:p>
        </w:tc>
        <w:tc>
          <w:p>
            <w:pPr>
              <w:pStyle w:val="4"/>
            </w:pPr>
          </w:p>
        </w:tc>
      </w:tr>
      <w:tr>
        <w:tblPrEx>
          <w:tblCellMar>
            <w:top w:w="0" w:type="dxa"/>
            <w:left w:w="10" w:type="dxa"/>
            <w:bottom w:w="0" w:type="dxa"/>
            <w:right w:w="10" w:type="dxa"/>
          </w:tblCellMar>
        </w:tblPrEx>
        <w:trPr>
          <w:gridAfter w:val="8"/>
          <w:wAfter w:w="300" w:type="dxa"/>
          <w:trHeight w:val="27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8"/>
          <w:wAfter w:w="300" w:type="dxa"/>
          <w:trHeight w:val="400" w:hRule="atLeast"/>
        </w:trPr>
        <w:tc>
          <w:p>
            <w:pPr>
              <w:pStyle w:val="4"/>
            </w:pPr>
          </w:p>
        </w:tc>
        <w:tc>
          <w:tcPr>
            <w:gridSpan w:val="5"/>
          </w:tcPr>
          <w:p>
            <w:pPr>
              <w:pStyle w:val="4"/>
            </w:pPr>
          </w:p>
        </w:tc>
        <w:tc>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10</w:t>
            </w: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8"/>
          <w:wAfter w:w="300" w:type="dxa"/>
          <w:trHeight w:val="0" w:hRule="atLeast"/>
        </w:trPr>
        <w:tc>
          <w:p>
            <w:pPr>
              <w:pStyle w:val="4"/>
              <w:pageBreakBefore/>
            </w:pPr>
            <w:bookmarkStart w:id="1" w:name="JR_PAGE_ANCHOR_0_2"/>
            <w:bookmarkEnd w:id="1"/>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8"/>
          <w:wAfter w:w="30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兴业银行添利3号净值型理财产品2022年第一季度报告</w:t>
            </w:r>
          </w:p>
        </w:tc>
        <w:tc>
          <w:p>
            <w:pPr>
              <w:pStyle w:val="4"/>
            </w:pPr>
          </w:p>
        </w:tc>
      </w:tr>
      <w:tr>
        <w:tblPrEx>
          <w:tblCellMar>
            <w:top w:w="0" w:type="dxa"/>
            <w:left w:w="10" w:type="dxa"/>
            <w:bottom w:w="0" w:type="dxa"/>
            <w:right w:w="10" w:type="dxa"/>
          </w:tblCellMar>
        </w:tblPrEx>
        <w:trPr>
          <w:gridAfter w:val="8"/>
          <w:wAfter w:w="300" w:type="dxa"/>
          <w:trHeight w:val="2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8"/>
          <w:wAfter w:w="30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8"/>
          <w:wAfter w:w="300" w:type="dxa"/>
          <w:trHeight w:val="8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8"/>
          <w:wAfter w:w="300" w:type="dxa"/>
          <w:trHeight w:val="600" w:hRule="atLeast"/>
        </w:trPr>
        <w:tc>
          <w:p>
            <w:pPr>
              <w:pStyle w:val="4"/>
            </w:pPr>
          </w:p>
        </w:tc>
        <w:tc>
          <w:tcPr>
            <w:gridSpan w:val="3"/>
          </w:tcPr>
          <w:p>
            <w:pPr>
              <w:pStyle w:val="4"/>
            </w:pPr>
          </w:p>
        </w:tc>
        <w:tc>
          <w:tcPr>
            <w:gridSpan w:val="3"/>
          </w:tcPr>
          <w:p>
            <w:pPr>
              <w:pStyle w:val="4"/>
            </w:pPr>
          </w:p>
        </w:tc>
        <w:tc>
          <w:tcPr>
            <w:gridSpan w:val="2"/>
          </w:tcPr>
          <w:p>
            <w:pPr>
              <w:pStyle w:val="4"/>
            </w:pPr>
          </w:p>
        </w:tc>
        <w:tc>
          <w:tcPr>
            <w:gridSpan w:val="2"/>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8"/>
          <w:wAfter w:w="300" w:type="dxa"/>
          <w:trHeight w:val="4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8"/>
          <w:wAfter w:w="300" w:type="dxa"/>
          <w:trHeight w:val="6840" w:hRule="atLeast"/>
        </w:trPr>
        <w:tc>
          <w:p>
            <w:pPr>
              <w:pStyle w:val="4"/>
            </w:pPr>
          </w:p>
        </w:tc>
        <w:tc>
          <w:tcPr>
            <w:gridSpan w:val="3"/>
          </w:tcPr>
          <w:p>
            <w:pPr>
              <w:pStyle w:val="4"/>
            </w:pPr>
          </w:p>
        </w:tc>
        <w:tc>
          <w:tcPr>
            <w:gridSpan w:val="10"/>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r>
              <w:rPr>
                <w:rFonts w:ascii="宋体" w:hAnsi="宋体" w:eastAsia="宋体" w:cs="宋体"/>
                <w:color w:val="000000"/>
                <w:sz w:val="21"/>
              </w:rPr>
              <w:br w:type="textWrapping"/>
            </w:r>
            <w:r>
              <w:rPr>
                <w:rFonts w:ascii="宋体" w:hAnsi="宋体" w:eastAsia="宋体" w:cs="宋体"/>
                <w:color w:val="000000"/>
                <w:sz w:val="21"/>
              </w:rPr>
              <w:t xml:space="preserve">     7. 影响理财份额投资人决策的其他重要信息</w:t>
            </w:r>
          </w:p>
        </w:tc>
        <w:tc>
          <w:tcPr>
            <w:gridSpan w:val="2"/>
          </w:tcPr>
          <w:p>
            <w:pPr>
              <w:pStyle w:val="4"/>
            </w:pPr>
          </w:p>
        </w:tc>
        <w:tc>
          <w:p>
            <w:pPr>
              <w:pStyle w:val="4"/>
            </w:pPr>
          </w:p>
        </w:tc>
      </w:tr>
      <w:tr>
        <w:tblPrEx>
          <w:tblCellMar>
            <w:top w:w="0" w:type="dxa"/>
            <w:left w:w="10" w:type="dxa"/>
            <w:bottom w:w="0" w:type="dxa"/>
            <w:right w:w="10" w:type="dxa"/>
          </w:tblCellMar>
        </w:tblPrEx>
        <w:trPr>
          <w:gridAfter w:val="8"/>
          <w:wAfter w:w="300" w:type="dxa"/>
          <w:trHeight w:val="608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8"/>
          <w:wAfter w:w="300" w:type="dxa"/>
          <w:trHeight w:val="400" w:hRule="atLeast"/>
        </w:trPr>
        <w:tc>
          <w:p>
            <w:pPr>
              <w:pStyle w:val="4"/>
            </w:pPr>
          </w:p>
        </w:tc>
        <w:tc>
          <w:tcPr>
            <w:gridSpan w:val="3"/>
          </w:tcPr>
          <w:p>
            <w:pPr>
              <w:pStyle w:val="4"/>
            </w:pPr>
          </w:p>
        </w:tc>
        <w:tc>
          <w:tcPr>
            <w:gridSpan w:val="3"/>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10</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8"/>
          <w:wAfter w:w="300" w:type="dxa"/>
          <w:trHeight w:val="0" w:hRule="atLeast"/>
        </w:trPr>
        <w:tc>
          <w:p>
            <w:pPr>
              <w:pStyle w:val="4"/>
              <w:pageBreakBefore/>
            </w:pPr>
            <w:bookmarkStart w:id="2" w:name="JR_PAGE_ANCHOR_0_3"/>
            <w:bookmarkEnd w:id="2"/>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兴业银行添利3号净值型理财产品2022年第一季度报告</w:t>
            </w:r>
          </w:p>
        </w:tc>
        <w:tc>
          <w:p>
            <w:pPr>
              <w:pStyle w:val="4"/>
            </w:pPr>
          </w:p>
        </w:tc>
      </w:tr>
      <w:tr>
        <w:tblPrEx>
          <w:tblCellMar>
            <w:top w:w="0" w:type="dxa"/>
            <w:left w:w="10" w:type="dxa"/>
            <w:bottom w:w="0" w:type="dxa"/>
            <w:right w:w="10" w:type="dxa"/>
          </w:tblCellMar>
        </w:tblPrEx>
        <w:trPr>
          <w:gridAfter w:val="8"/>
          <w:wAfter w:w="300" w:type="dxa"/>
          <w:trHeight w:val="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8"/>
          <w:wAfter w:w="300" w:type="dxa"/>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8"/>
          <w:wAfter w:w="300" w:type="dxa"/>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3080" w:hRule="atLeast"/>
        </w:trPr>
        <w:tc>
          <w:p>
            <w:pPr>
              <w:pStyle w:val="4"/>
            </w:pPr>
          </w:p>
        </w:tc>
        <w:tc>
          <w:tcPr>
            <w:gridSpan w:val="15"/>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8"/>
          <w:wAfter w:w="300" w:type="dxa"/>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blPrEx>
          <w:tblCellMar>
            <w:top w:w="0" w:type="dxa"/>
            <w:left w:w="10" w:type="dxa"/>
            <w:bottom w:w="0" w:type="dxa"/>
            <w:right w:w="10" w:type="dxa"/>
          </w:tblCellMar>
        </w:tblPrEx>
        <w:trPr>
          <w:gridAfter w:val="8"/>
          <w:wAfter w:w="300" w:type="dxa"/>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兴业银行添利3号净值型理财产品</w:t>
            </w: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90318012</w:t>
            </w: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Z7002020000003</w:t>
            </w: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37,709,676,837.27份</w:t>
            </w: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3.50%</w:t>
            </w: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R1</w:t>
            </w: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8"/>
          <w:wAfter w:w="30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8"/>
          <w:wAfter w:w="300" w:type="dxa"/>
          <w:trHeight w:val="2400" w:hRule="exact"/>
        </w:trPr>
        <w:tc>
          <w:p>
            <w:pPr>
              <w:pStyle w:val="4"/>
            </w:pPr>
          </w:p>
        </w:tc>
        <w:tc>
          <w:tcPr>
            <w:gridSpan w:val="15"/>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添利3号-日日生金（新客专属）</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91318012</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14,108,366,243.44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添利日日生金（代发/平台专属）</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91318013</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5,065,928,657.93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添利兴财付</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91318014</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1,620,911,751.68</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8"/>
          <w:wAfter w:w="300" w:type="dxa"/>
          <w:trHeight w:val="5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10</w:t>
            </w:r>
          </w:p>
        </w:tc>
        <w:tc>
          <w:tcPr>
            <w:gridSpan w:val="4"/>
          </w:tcPr>
          <w:p>
            <w:pPr>
              <w:pStyle w:val="4"/>
            </w:pPr>
          </w:p>
        </w:tc>
        <w:tc>
          <w:p>
            <w:pPr>
              <w:pStyle w:val="4"/>
            </w:pPr>
          </w:p>
        </w:tc>
      </w:tr>
      <w:tr>
        <w:tblPrEx>
          <w:tblCellMar>
            <w:top w:w="0" w:type="dxa"/>
            <w:left w:w="10" w:type="dxa"/>
            <w:bottom w:w="0" w:type="dxa"/>
            <w:right w:w="10" w:type="dxa"/>
          </w:tblCellMar>
        </w:tblPrEx>
        <w:trPr>
          <w:gridAfter w:val="2"/>
          <w:wAfter w:w="140" w:type="dxa"/>
          <w:trHeight w:val="0" w:hRule="atLeast"/>
        </w:trPr>
        <w:tc>
          <w:p>
            <w:pPr>
              <w:pStyle w:val="4"/>
              <w:pageBreakBefore/>
            </w:pPr>
            <w:bookmarkStart w:id="3" w:name="JR_PAGE_ANCHOR_0_4"/>
            <w:bookmarkEnd w:id="3"/>
          </w:p>
        </w:tc>
        <w:tc>
          <w:tcPr>
            <w:gridSpan w:val="6"/>
          </w:tcPr>
          <w:p>
            <w:pPr>
              <w:pStyle w:val="4"/>
            </w:pPr>
          </w:p>
        </w:tc>
        <w:tc>
          <w:tcPr>
            <w:gridSpan w:val="3"/>
          </w:tcPr>
          <w:p>
            <w:pPr>
              <w:pStyle w:val="4"/>
            </w:pPr>
          </w:p>
        </w:tc>
        <w:tc>
          <w:tcPr>
            <w:gridSpan w:val="2"/>
          </w:tcPr>
          <w:p>
            <w:pPr>
              <w:pStyle w:val="4"/>
            </w:pPr>
          </w:p>
        </w:tc>
        <w:tc>
          <w:tcPr>
            <w:gridSpan w:val="3"/>
          </w:tcPr>
          <w:p>
            <w:pPr>
              <w:pStyle w:val="4"/>
            </w:pPr>
          </w:p>
        </w:tc>
        <w:tc>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兴业银行添利3号净值型理财产品2022年第一季度报告</w:t>
            </w: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2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3"/>
          </w:tcPr>
          <w:p>
            <w:pPr>
              <w:pStyle w:val="4"/>
            </w:pPr>
          </w:p>
        </w:tc>
        <w:tc>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3000" w:hRule="exact"/>
        </w:trPr>
        <w:tc>
          <w:p>
            <w:pPr>
              <w:pStyle w:val="4"/>
            </w:pPr>
          </w:p>
        </w:tc>
        <w:tc>
          <w:tcPr>
            <w:gridSpan w:val="15"/>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添利日添金</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91318015</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65,682,051.63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添利私享</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91318016</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3,019,714,747.45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添利日日鑫</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91318017</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3,704,976,952.79</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添利小微</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9B319011</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10,124,096,432.35</w:t>
                        </w:r>
                      </w:p>
                    </w:tc>
                  </w:tr>
                </w:tbl>
                <w:p>
                  <w:pPr>
                    <w:pStyle w:val="4"/>
                  </w:pPr>
                </w:p>
              </w:tc>
            </w:tr>
          </w:tbl>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30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3"/>
          </w:tcPr>
          <w:p>
            <w:pPr>
              <w:pStyle w:val="4"/>
            </w:pPr>
          </w:p>
        </w:tc>
        <w:tc>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30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3"/>
          </w:tcPr>
          <w:p>
            <w:pPr>
              <w:pStyle w:val="4"/>
            </w:pPr>
          </w:p>
        </w:tc>
        <w:tc>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900" w:hRule="atLeast"/>
        </w:trPr>
        <w:tc>
          <w:p>
            <w:pPr>
              <w:pStyle w:val="4"/>
            </w:pPr>
          </w:p>
        </w:tc>
        <w:tc>
          <w:tcPr>
            <w:gridSpan w:val="15"/>
            <w:tcMar>
              <w:top w:w="0" w:type="dxa"/>
              <w:left w:w="0" w:type="dxa"/>
              <w:bottom w:w="0" w:type="dxa"/>
              <w:right w:w="0" w:type="dxa"/>
            </w:tcMar>
            <w:vAlign w:val="center"/>
          </w:tcPr>
          <w:p>
            <w:pPr>
              <w:spacing w:before="0" w:after="0" w:line="320" w:lineRule="exact"/>
              <w:ind w:firstLine="0"/>
            </w:pPr>
            <w:r>
              <w:rPr>
                <w:rFonts w:ascii="宋体" w:hAnsi="宋体" w:eastAsia="宋体" w:cs="宋体"/>
                <w:color w:val="000000"/>
                <w:sz w:val="21"/>
              </w:rPr>
              <w:t xml:space="preserve">    报告期内，91318012七日年化收益率均值2.8903%，91318013七日年化收益率均值2.8903%，91318014七日年化收益率均值2.7375%，91318015七日年化收益率均值2.7364%，91318016七日年化收益率均值2.8885%，91318017七日年化收益率均值2.8927%，9B319011七日年化收益率均值2.8902%。同期业绩比较基准如下：</w:t>
            </w: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16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3"/>
          </w:tcPr>
          <w:p>
            <w:pPr>
              <w:pStyle w:val="4"/>
            </w:pPr>
          </w:p>
        </w:tc>
        <w:tc>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5400" w:hRule="exact"/>
        </w:trPr>
        <w:tc>
          <w:p>
            <w:pPr>
              <w:pStyle w:val="4"/>
            </w:pPr>
          </w:p>
        </w:tc>
        <w:tc>
          <w:tcPr>
            <w:gridSpan w:val="14"/>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gridCol w:w="4000"/>
              <w:gridCol w:w="46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AFAFA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AFAFA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20" w:type="dxa"/>
                          <w:bottom w:w="0" w:type="dxa"/>
                          <w:right w:w="0" w:type="dxa"/>
                        </w:tcMar>
                        <w:vAlign w:val="center"/>
                      </w:tcPr>
                      <w:p>
                        <w:pPr>
                          <w:jc w:val="center"/>
                        </w:pPr>
                        <w:r>
                          <w:rPr>
                            <w:rFonts w:ascii="宋体" w:hAnsi="宋体" w:eastAsia="宋体" w:cs="宋体"/>
                            <w:b/>
                            <w:color w:val="000000"/>
                            <w:sz w:val="21"/>
                          </w:rPr>
                          <w:t>适用期间</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AFAFA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60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b/>
                            <w:color w:val="000000"/>
                            <w:sz w:val="21"/>
                          </w:rPr>
                          <w:t>业绩比较基准</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2022-01-01至2022-03-31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600"/>
                  </w:tblGrid>
                  <w:tr>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3.50%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91318012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2022-01-01至2022-03-31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60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1.35%</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91318013</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2022-01-01至2022-03-31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600"/>
                  </w:tblGrid>
                  <w:tr>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3.50%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91318014</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2022-01-01至2022-03-31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60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通知存款七天+浮动基数0%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91318015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2022-01-01至2022-03-31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60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通知存款七天+浮动基数0%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91318016</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2022-01-01至2022-03-31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60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通知存款七天+浮动基数0%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91318017</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2022-01-01至2022-03-31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60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通知存款七天+浮动基数0%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9B319011</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2022-01-01至2022-03-31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600"/>
                  </w:tblGrid>
                  <w:tr>
                    <w:trPr>
                      <w:trHeight w:val="600" w:hRule="atLeast"/>
                    </w:trPr>
                    <w:tc>
                      <w:tcPr>
                        <w:tcMar>
                          <w:top w:w="0" w:type="dxa"/>
                          <w:left w:w="20" w:type="dxa"/>
                          <w:bottom w:w="0" w:type="dxa"/>
                          <w:right w:w="0" w:type="dxa"/>
                        </w:tcMar>
                        <w:vAlign w:val="center"/>
                      </w:tcPr>
                      <w:p>
                        <w:pPr>
                          <w:jc w:val="center"/>
                        </w:pPr>
                        <w:r>
                          <w:rPr>
                            <w:rFonts w:ascii="宋体" w:hAnsi="宋体" w:eastAsia="宋体" w:cs="宋体"/>
                            <w:color w:val="000000"/>
                            <w:sz w:val="21"/>
                          </w:rPr>
                          <w:t>通知存款七天+浮动基数0%</w:t>
                        </w:r>
                      </w:p>
                    </w:tc>
                  </w:tr>
                </w:tbl>
                <w:p>
                  <w:pPr>
                    <w:pStyle w:val="4"/>
                  </w:pPr>
                </w:p>
              </w:tc>
            </w:tr>
          </w:tbl>
          <w:p>
            <w:pPr>
              <w:pStyle w:val="4"/>
            </w:pPr>
          </w:p>
        </w:tc>
        <w:tc>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600" w:hRule="atLeast"/>
        </w:trPr>
        <w:tc>
          <w:p>
            <w:pPr>
              <w:pStyle w:val="4"/>
            </w:pPr>
          </w:p>
        </w:tc>
        <w:tc>
          <w:tcPr>
            <w:gridSpan w:val="21"/>
            <w:tcMar>
              <w:top w:w="0" w:type="dxa"/>
              <w:left w:w="0" w:type="dxa"/>
              <w:bottom w:w="0" w:type="dxa"/>
              <w:right w:w="0" w:type="dxa"/>
            </w:tcMar>
            <w:vAlign w:val="center"/>
          </w:tcPr>
          <w:p>
            <w:r>
              <w:rPr>
                <w:rFonts w:ascii="宋体" w:hAnsi="宋体" w:eastAsia="宋体" w:cs="宋体"/>
                <w:color w:val="000000"/>
                <w:sz w:val="21"/>
              </w:rPr>
              <w:t>报告期末，产品收益具体如下：</w:t>
            </w:r>
          </w:p>
        </w:tc>
        <w:tc>
          <w:p>
            <w:pPr>
              <w:pStyle w:val="4"/>
            </w:pPr>
          </w:p>
        </w:tc>
      </w:tr>
      <w:tr>
        <w:tblPrEx>
          <w:tblCellMar>
            <w:top w:w="0" w:type="dxa"/>
            <w:left w:w="10" w:type="dxa"/>
            <w:bottom w:w="0" w:type="dxa"/>
            <w:right w:w="10" w:type="dxa"/>
          </w:tblCellMar>
        </w:tblPrEx>
        <w:trPr>
          <w:gridAfter w:val="2"/>
          <w:wAfter w:w="140" w:type="dxa"/>
          <w:trHeight w:val="12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gridCol w:w="2200"/>
              <w:gridCol w:w="1800"/>
              <w:gridCol w:w="2000"/>
              <w:gridCol w:w="27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万份收益</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七日年化收益率</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7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0.6953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2.8760%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7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37,709,676,837.27</w:t>
                        </w:r>
                      </w:p>
                    </w:tc>
                  </w:tr>
                </w:tbl>
                <w:p>
                  <w:pPr>
                    <w:pStyle w:val="4"/>
                  </w:pPr>
                </w:p>
              </w:tc>
            </w:tr>
          </w:tbl>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18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gridCol w:w="2200"/>
              <w:gridCol w:w="1800"/>
              <w:gridCol w:w="2000"/>
              <w:gridCol w:w="27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万份收益</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七日年化收益率</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7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91318012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0.6981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2.8840%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7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14,108,366,243.44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91318013</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0.6981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2.8840%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7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5,065,928,657.93</w:t>
                        </w:r>
                      </w:p>
                    </w:tc>
                  </w:tr>
                </w:tbl>
                <w:p>
                  <w:pPr>
                    <w:pStyle w:val="4"/>
                  </w:pPr>
                </w:p>
              </w:tc>
            </w:tr>
          </w:tbl>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54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3"/>
          </w:tcPr>
          <w:p>
            <w:pPr>
              <w:pStyle w:val="4"/>
            </w:pPr>
          </w:p>
        </w:tc>
        <w:tc>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2"/>
          <w:wAfter w:w="140" w:type="dxa"/>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10</w:t>
            </w:r>
          </w:p>
        </w:tc>
        <w:tc>
          <w:tcPr>
            <w:gridSpan w:val="3"/>
          </w:tcPr>
          <w:p>
            <w:pPr>
              <w:pStyle w:val="4"/>
            </w:pPr>
          </w:p>
        </w:tc>
        <w:tc>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6"/>
          <w:wAfter w:w="280" w:type="dxa"/>
          <w:trHeight w:val="0" w:hRule="atLeast"/>
        </w:trPr>
        <w:tc>
          <w:p>
            <w:pPr>
              <w:pStyle w:val="4"/>
              <w:pageBreakBefore/>
            </w:pPr>
            <w:bookmarkStart w:id="4" w:name="JR_PAGE_ANCHOR_0_5"/>
            <w:bookmarkEnd w:id="4"/>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兴业银行添利3号净值型理财产品2022年第一季度报告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3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gridCol w:w="2200"/>
              <w:gridCol w:w="1800"/>
              <w:gridCol w:w="2000"/>
              <w:gridCol w:w="27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万份收益</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七日年化收益率</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7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91318014</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0.6568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2.7330%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7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1,620,911,751.68</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91318015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0.6611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2.7360%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7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65,682,051.63</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91318016</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0.6981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2.8790%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7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3,019,714,747.45</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91318017</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0.6967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2.8860%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7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3,704,976,952.79</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9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9B319011</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2022年3月31日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0.6949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2.8780%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7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10,124,096,432.35</w:t>
                        </w:r>
                      </w:p>
                    </w:tc>
                  </w:tr>
                </w:tbl>
                <w:p>
                  <w:pPr>
                    <w:pStyle w:val="4"/>
                  </w:pPr>
                </w:p>
              </w:tc>
            </w:tr>
          </w:tbl>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1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2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900" w:hRule="atLeast"/>
        </w:trPr>
        <w:tc>
          <w:p>
            <w:pPr>
              <w:pStyle w:val="4"/>
            </w:pPr>
          </w:p>
        </w:tc>
        <w:tc>
          <w:p>
            <w:pPr>
              <w:pStyle w:val="4"/>
            </w:pPr>
          </w:p>
        </w:tc>
        <w:tc>
          <w:tcPr>
            <w:gridSpan w:val="16"/>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杨懿女士，北京大学理学、经济学双学士、金融硕士，4年固定收益投资交易经验。2020年加入兴银理财，从事固定收益投资管理工作，协助管理总规模逾千亿，善于大资金的资产配置和流动性管理。现担任“兴业银行添利3号净值型理财产品”、“兴业银行添利新私享净值型理财产品”和“兴银理财日日新2号净值型理财产品”投资经理。</w:t>
            </w:r>
          </w:p>
        </w:tc>
        <w:tc>
          <w:p>
            <w:pPr>
              <w:pStyle w:val="4"/>
            </w:pPr>
          </w:p>
        </w:tc>
      </w:tr>
      <w:tr>
        <w:tblPrEx>
          <w:tblCellMar>
            <w:top w:w="0" w:type="dxa"/>
            <w:left w:w="10" w:type="dxa"/>
            <w:bottom w:w="0" w:type="dxa"/>
            <w:right w:w="10" w:type="dxa"/>
          </w:tblCellMar>
        </w:tblPrEx>
        <w:trPr>
          <w:gridAfter w:val="6"/>
          <w:wAfter w:w="280" w:type="dxa"/>
          <w:trHeight w:val="600" w:hRule="atLeast"/>
        </w:trPr>
        <w:tc>
          <w:p>
            <w:pPr>
              <w:pStyle w:val="4"/>
            </w:pPr>
            <w:bookmarkStart w:id="10" w:name="_GoBack"/>
            <w:bookmarkEnd w:id="10"/>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1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79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一 宏观经济及市场情况</w:t>
            </w:r>
            <w:r>
              <w:rPr>
                <w:rFonts w:ascii="宋体" w:hAnsi="宋体" w:eastAsia="宋体" w:cs="宋体"/>
                <w:color w:val="000000"/>
                <w:sz w:val="21"/>
              </w:rPr>
              <w:br w:type="textWrapping"/>
            </w:r>
            <w:r>
              <w:rPr>
                <w:rFonts w:ascii="宋体" w:hAnsi="宋体" w:eastAsia="宋体" w:cs="宋体"/>
                <w:color w:val="000000"/>
                <w:sz w:val="21"/>
              </w:rPr>
              <w:t xml:space="preserve">    2022年第一季度，债券市场收益率先下后上，1月中旬央行下调MLF和逆回购利率10bp，宽货币先行带动十年国债收益率下行至1月下旬低点2.68%，随后1月社融及贷款数据超预期叠加美国通胀加剧，美联储加息预期升温，十年国债收益率触底回升至2.80%中枢波动。2月下旬至3月，市场经历着多空力量的来回拉扯，在权益市场调整诱发广义基金赎回、部分城市首付款比例降低引发宽信用担忧、海外美债收益率上行，以及2月社融增速低于预期、国内疫情多点散发、俄乌冲突带来的地缘政治风险等多重因素影响下，十年国债收益率在2.75%-2.85%区间维持震荡走势。期限利差方面，由于货币政策呈偏松格局，短端收益率反弹有限，长端反弹较大，期限利差普遍走阔。</w:t>
            </w:r>
            <w:r>
              <w:rPr>
                <w:rFonts w:ascii="宋体" w:hAnsi="宋体" w:eastAsia="宋体" w:cs="宋体"/>
                <w:color w:val="000000"/>
                <w:sz w:val="21"/>
              </w:rPr>
              <w:br w:type="textWrapping"/>
            </w:r>
            <w:r>
              <w:rPr>
                <w:rFonts w:ascii="宋体" w:hAnsi="宋体" w:eastAsia="宋体" w:cs="宋体"/>
                <w:color w:val="000000"/>
                <w:sz w:val="21"/>
              </w:rPr>
              <w:br w:type="textWrapping"/>
            </w:r>
            <w:r>
              <w:rPr>
                <w:rFonts w:ascii="宋体" w:hAnsi="宋体" w:eastAsia="宋体" w:cs="宋体"/>
                <w:color w:val="000000"/>
                <w:sz w:val="21"/>
              </w:rPr>
              <w:t xml:space="preserve">    展望二季度，国内外形势更趋严峻复杂，国内经济“三重压力”背景下稳增长政策的进一步落地和数据验证将成为博弈重点，尤其关注部分省市疫情散点爆发对宽信用的短期扰动和多地房地产政策边际缓和的落地效果。海外方面，美联储加息缩表节奏预期和地缘政治推升海外通胀中枢等因素对国内政策节奏的影响值得关注。鉴于目前宽信用效果欠佳，金稳会表态“货币政策要主动应对”，二季度货币政策维持偏宽松的确定性较大。总体来看，市场对二季度短端维持震荡的预期较为一致，关注基本面、政策面和投资者行为边际变化带来的投资机会。</w:t>
            </w:r>
            <w:r>
              <w:rPr>
                <w:rFonts w:ascii="宋体" w:hAnsi="宋体" w:eastAsia="宋体" w:cs="宋体"/>
                <w:color w:val="000000"/>
                <w:sz w:val="21"/>
              </w:rPr>
              <w:br w:type="textWrapping"/>
            </w:r>
            <w:r>
              <w:rPr>
                <w:rFonts w:ascii="宋体" w:hAnsi="宋体" w:eastAsia="宋体" w:cs="宋体"/>
                <w:color w:val="000000"/>
                <w:sz w:val="21"/>
              </w:rPr>
              <w:br w:type="textWrapping"/>
            </w:r>
            <w:r>
              <w:rPr>
                <w:rFonts w:ascii="宋体" w:hAnsi="宋体" w:eastAsia="宋体" w:cs="宋体"/>
                <w:color w:val="000000"/>
                <w:sz w:val="21"/>
              </w:rPr>
              <w:t>二 前期运作回顾</w:t>
            </w:r>
            <w:r>
              <w:rPr>
                <w:rFonts w:ascii="宋体" w:hAnsi="宋体" w:eastAsia="宋体" w:cs="宋体"/>
                <w:color w:val="000000"/>
                <w:sz w:val="21"/>
              </w:rPr>
              <w:br w:type="textWrapping"/>
            </w:r>
            <w:r>
              <w:rPr>
                <w:rFonts w:ascii="宋体" w:hAnsi="宋体" w:eastAsia="宋体" w:cs="宋体"/>
                <w:color w:val="000000"/>
                <w:sz w:val="21"/>
              </w:rPr>
              <w:t xml:space="preserve">    报告期内，本产品始终将保持流动性安全和防范信用风险作为第一要务，在此基础上通过稳健的投资风格实现相对稳定的收益。</w:t>
            </w:r>
            <w:r>
              <w:rPr>
                <w:rFonts w:ascii="宋体" w:hAnsi="宋体" w:eastAsia="宋体" w:cs="宋体"/>
                <w:color w:val="000000"/>
                <w:sz w:val="21"/>
              </w:rPr>
              <w:br w:type="textWrapping"/>
            </w:r>
            <w:r>
              <w:rPr>
                <w:rFonts w:ascii="宋体" w:hAnsi="宋体" w:eastAsia="宋体" w:cs="宋体"/>
                <w:color w:val="000000"/>
                <w:sz w:val="21"/>
              </w:rPr>
              <w:t xml:space="preserve">    报告期内，本产品规模小幅增加，根据我们对市场的预判一季度收益率大概率震荡走势，在收益率回升期积极把握市场高点的买入机会，通过拉长久期、选择性价比较高的高等级信用债和同业信用类资产，较好地抓住了资产配置的时间窗口，保证了产品组合收益率的市场竞争力。添利3号总体规模呈现稳定，组合久期0.7年，日均年化收益率2.92%。</w:t>
            </w:r>
            <w:r>
              <w:rPr>
                <w:rFonts w:ascii="宋体" w:hAnsi="宋体" w:eastAsia="宋体" w:cs="宋体"/>
                <w:color w:val="000000"/>
                <w:sz w:val="21"/>
              </w:rPr>
              <w:br w:type="textWrapping"/>
            </w:r>
            <w:r>
              <w:rPr>
                <w:rFonts w:ascii="宋体" w:hAnsi="宋体" w:eastAsia="宋体" w:cs="宋体"/>
                <w:color w:val="000000"/>
                <w:sz w:val="21"/>
              </w:rPr>
              <w:t>三 后期投资策略</w:t>
            </w:r>
            <w:r>
              <w:rPr>
                <w:rFonts w:ascii="宋体" w:hAnsi="宋体" w:eastAsia="宋体" w:cs="宋体"/>
                <w:color w:val="000000"/>
                <w:sz w:val="21"/>
              </w:rPr>
              <w:tab/>
            </w:r>
            <w:r>
              <w:rPr>
                <w:rFonts w:ascii="宋体" w:hAnsi="宋体" w:eastAsia="宋体" w:cs="宋体"/>
                <w:color w:val="000000"/>
                <w:sz w:val="21"/>
              </w:rPr>
              <w:br w:type="textWrapping"/>
            </w:r>
            <w:r>
              <w:rPr>
                <w:rFonts w:ascii="宋体" w:hAnsi="宋体" w:eastAsia="宋体" w:cs="宋体"/>
                <w:color w:val="000000"/>
                <w:sz w:val="21"/>
              </w:rPr>
              <w:t xml:space="preserve">    下阶段本产品依然会保持安全性和流动性优先、兼顾收益性的稳健投资策略，深入研究分析债券市场收益率的变化趋势，综合考量各投资品种的风险收益特征，在此基础上制定科学有效的投资策略。</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10</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0" w:hRule="atLeast"/>
        </w:trPr>
        <w:tc>
          <w:p>
            <w:pPr>
              <w:pStyle w:val="4"/>
              <w:pageBreakBefore/>
            </w:pPr>
            <w:bookmarkStart w:id="5" w:name="JR_PAGE_ANCHOR_0_6"/>
            <w:bookmarkEnd w:id="5"/>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兴业银行添利3号净值型理财产品2022年第一季度报告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29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在具体操作上，关注市场调整机会。从3月发布的宏观数据和中高频数据对比来看，国内的基本面仍存在结构性矛盾，经济复苏有一定阻碍。新一轮国内多地散发疫情的冲击，也给社会经济带来一定的负面影响。随着疫情平复后补偿性增长的释放，叠加稳增长相关政策的发力，债券市场收益率可能会面临调整压力，尤其是宽信用政策带来的信用利差走阔。对于摊余成本估值的现金管理产品，市场利率上行时期是较好的投资窗口期，我们会结合产品实际情况、把握建仓时机，提高产品组合静态收益。</w:t>
            </w:r>
            <w:r>
              <w:rPr>
                <w:rFonts w:ascii="宋体" w:hAnsi="宋体" w:eastAsia="宋体" w:cs="宋体"/>
                <w:color w:val="000000"/>
                <w:sz w:val="21"/>
              </w:rPr>
              <w:br w:type="textWrapping"/>
            </w:r>
            <w:r>
              <w:rPr>
                <w:rFonts w:ascii="宋体" w:hAnsi="宋体" w:eastAsia="宋体" w:cs="宋体"/>
                <w:color w:val="000000"/>
                <w:sz w:val="21"/>
              </w:rPr>
              <w:t xml:space="preserve">    流动性管理方面，货币政策仍然会保持宽松，产品流动性无忧，资产组合中维持一定的杠杆比例增厚产品收益。半年末我们将密切关注市场资金面情况和产品申购赎回情况，合理分配现金流，确保产品的流动性安全。此外，结合已颁布的《关于规范现金管理类理财产品管理有关事项的通知》，我们将持续按照监管部门的要求，对组合进行调整和优化。</w:t>
            </w: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4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6"/>
          <w:wAfter w:w="280" w:type="dxa"/>
          <w:trHeight w:val="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4200" w:hRule="exact"/>
        </w:trPr>
        <w:tc>
          <w:p>
            <w:pPr>
              <w:pStyle w:val="4"/>
            </w:pPr>
          </w:p>
        </w:tc>
        <w:tc>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3200"/>
              <w:gridCol w:w="4000"/>
              <w:gridCol w:w="2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直接投资占比（%）</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间接投资占比（%）</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35.36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500"/>
                  </w:tblGrid>
                  <w:tr>
                    <w:tblPrEx>
                      <w:tblCellMar>
                        <w:top w:w="0" w:type="dxa"/>
                        <w:left w:w="10" w:type="dxa"/>
                        <w:bottom w:w="0" w:type="dxa"/>
                        <w:right w:w="10" w:type="dxa"/>
                      </w:tblCellMar>
                    </w:tblPrEx>
                    <w:trPr>
                      <w:trHeight w:val="600" w:hRule="atLeast"/>
                    </w:trPr>
                    <w:tc>
                      <w:tcPr>
                        <w:tcBorders>
                          <w:right w:val="single" w:color="000000" w:sz="4" w:space="0"/>
                        </w:tcBorders>
                        <w:tcMar>
                          <w:top w:w="0" w:type="dxa"/>
                          <w:left w:w="0" w:type="dxa"/>
                          <w:bottom w:w="0" w:type="dxa"/>
                          <w:right w:w="0" w:type="dxa"/>
                        </w:tcMar>
                        <w:vAlign w:val="center"/>
                      </w:tcPr>
                      <w:p>
                        <w:pPr>
                          <w:jc w:val="center"/>
                        </w:pPr>
                        <w:r>
                          <w:rPr>
                            <w:rFonts w:ascii="宋体" w:hAnsi="宋体" w:eastAsia="宋体" w:cs="宋体"/>
                            <w:color w:val="000000"/>
                            <w:sz w:val="21"/>
                          </w:rPr>
                          <w:t>37.34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买入返售金融资产</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500"/>
                  </w:tblGrid>
                  <w:tr>
                    <w:tblPrEx>
                      <w:tblCellMar>
                        <w:top w:w="0" w:type="dxa"/>
                        <w:left w:w="10" w:type="dxa"/>
                        <w:bottom w:w="0" w:type="dxa"/>
                        <w:right w:w="10" w:type="dxa"/>
                      </w:tblCellMar>
                    </w:tblPrEx>
                    <w:trPr>
                      <w:trHeight w:val="600" w:hRule="atLeast"/>
                    </w:trPr>
                    <w:tc>
                      <w:tcPr>
                        <w:tcBorders>
                          <w:right w:val="single" w:color="000000" w:sz="4" w:space="0"/>
                        </w:tcBorders>
                        <w:tcMar>
                          <w:top w:w="0" w:type="dxa"/>
                          <w:left w:w="0" w:type="dxa"/>
                          <w:bottom w:w="0" w:type="dxa"/>
                          <w:right w:w="0" w:type="dxa"/>
                        </w:tcMar>
                        <w:vAlign w:val="center"/>
                      </w:tcPr>
                      <w:p>
                        <w:pPr>
                          <w:jc w:val="center"/>
                        </w:pPr>
                        <w:r>
                          <w:rPr>
                            <w:rFonts w:ascii="宋体" w:hAnsi="宋体" w:eastAsia="宋体" w:cs="宋体"/>
                            <w:color w:val="000000"/>
                            <w:sz w:val="21"/>
                          </w:rPr>
                          <w:t>0.02</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62.51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500"/>
                  </w:tblGrid>
                  <w:tr>
                    <w:trPr>
                      <w:trHeight w:val="600" w:hRule="atLeast"/>
                    </w:trPr>
                    <w:tc>
                      <w:tcPr>
                        <w:tcBorders>
                          <w:right w:val="single" w:color="000000" w:sz="4" w:space="0"/>
                        </w:tcBorders>
                        <w:tcMar>
                          <w:top w:w="0" w:type="dxa"/>
                          <w:left w:w="0" w:type="dxa"/>
                          <w:bottom w:w="0" w:type="dxa"/>
                          <w:right w:w="0" w:type="dxa"/>
                        </w:tcMar>
                        <w:vAlign w:val="center"/>
                      </w:tcPr>
                      <w:p>
                        <w:pPr>
                          <w:jc w:val="center"/>
                        </w:pPr>
                        <w:r>
                          <w:rPr>
                            <w:rFonts w:ascii="宋体" w:hAnsi="宋体" w:eastAsia="宋体" w:cs="宋体"/>
                            <w:color w:val="000000"/>
                            <w:sz w:val="21"/>
                          </w:rPr>
                          <w:t>62.60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500"/>
                  </w:tblGrid>
                  <w:tr>
                    <w:tblPrEx>
                      <w:tblCellMar>
                        <w:top w:w="0" w:type="dxa"/>
                        <w:left w:w="10" w:type="dxa"/>
                        <w:bottom w:w="0" w:type="dxa"/>
                        <w:right w:w="10" w:type="dxa"/>
                      </w:tblCellMar>
                    </w:tblPrEx>
                    <w:trPr>
                      <w:trHeight w:val="600" w:hRule="atLeast"/>
                    </w:trPr>
                    <w:tc>
                      <w:tcPr>
                        <w:tcBorders>
                          <w:right w:val="single" w:color="000000" w:sz="4" w:space="0"/>
                        </w:tcBorders>
                        <w:tcMar>
                          <w:top w:w="0" w:type="dxa"/>
                          <w:left w:w="0" w:type="dxa"/>
                          <w:bottom w:w="0" w:type="dxa"/>
                          <w:right w:w="0" w:type="dxa"/>
                        </w:tcMar>
                        <w:vAlign w:val="center"/>
                      </w:tcPr>
                      <w:p>
                        <w:pPr>
                          <w:jc w:val="center"/>
                        </w:pPr>
                        <w:r>
                          <w:rPr>
                            <w:rFonts w:ascii="宋体" w:hAnsi="宋体" w:eastAsia="宋体" w:cs="宋体"/>
                            <w:color w:val="000000"/>
                            <w:sz w:val="21"/>
                          </w:rPr>
                          <w:t>0.04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500"/>
                  </w:tblGrid>
                  <w:tr>
                    <w:tblPrEx>
                      <w:tblCellMar>
                        <w:top w:w="0" w:type="dxa"/>
                        <w:left w:w="10" w:type="dxa"/>
                        <w:bottom w:w="0" w:type="dxa"/>
                        <w:right w:w="10" w:type="dxa"/>
                      </w:tblCellMar>
                    </w:tblPrEx>
                    <w:trPr>
                      <w:trHeight w:val="600" w:hRule="atLeast"/>
                    </w:trPr>
                    <w:tc>
                      <w:tcPr>
                        <w:tcBorders>
                          <w:right w:val="single" w:color="000000" w:sz="4" w:space="0"/>
                        </w:tcBorders>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500"/>
                  </w:tblGrid>
                  <w:tr>
                    <w:tblPrEx>
                      <w:tblCellMar>
                        <w:top w:w="0" w:type="dxa"/>
                        <w:left w:w="10" w:type="dxa"/>
                        <w:bottom w:w="0" w:type="dxa"/>
                        <w:right w:w="10" w:type="dxa"/>
                      </w:tblCellMar>
                    </w:tblPrEx>
                    <w:trPr>
                      <w:trHeight w:val="600" w:hRule="atLeast"/>
                    </w:trPr>
                    <w:tc>
                      <w:tcPr>
                        <w:tcBorders>
                          <w:right w:val="single" w:color="000000" w:sz="4" w:space="0"/>
                        </w:tcBorders>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6"/>
          <w:wAfter w:w="280" w:type="dxa"/>
          <w:trHeight w:val="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10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6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p>
            <w:pPr>
              <w:pStyle w:val="4"/>
            </w:pPr>
          </w:p>
        </w:tc>
      </w:tr>
      <w:tr>
        <w:tblPrEx>
          <w:tblCellMar>
            <w:top w:w="0" w:type="dxa"/>
            <w:left w:w="10" w:type="dxa"/>
            <w:bottom w:w="0" w:type="dxa"/>
            <w:right w:w="10" w:type="dxa"/>
          </w:tblCellMar>
        </w:tblPrEx>
        <w:trPr>
          <w:gridAfter w:val="6"/>
          <w:wAfter w:w="280" w:type="dxa"/>
          <w:trHeight w:val="2580" w:hRule="atLeast"/>
        </w:trPr>
        <w:tc>
          <w:p>
            <w:pPr>
              <w:pStyle w:val="4"/>
            </w:pPr>
          </w:p>
        </w:tc>
        <w:tc>
          <w:p>
            <w:pPr>
              <w:pStyle w:val="4"/>
            </w:pPr>
          </w:p>
        </w:tc>
        <w:tc>
          <w:tcPr>
            <w:gridSpan w:val="16"/>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p>
            <w:pPr>
              <w:pStyle w:val="4"/>
            </w:pPr>
          </w:p>
        </w:tc>
      </w:tr>
      <w:tr>
        <w:tblPrEx>
          <w:tblCellMar>
            <w:top w:w="0" w:type="dxa"/>
            <w:left w:w="10" w:type="dxa"/>
            <w:bottom w:w="0" w:type="dxa"/>
            <w:right w:w="10" w:type="dxa"/>
          </w:tblCellMar>
        </w:tblPrEx>
        <w:trPr>
          <w:gridAfter w:val="6"/>
          <w:wAfter w:w="280" w:type="dxa"/>
          <w:trHeight w:val="180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6"/>
          <w:wAfter w:w="280" w:type="dxa"/>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10</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260" w:type="dxa"/>
          <w:trHeight w:val="0" w:hRule="atLeast"/>
        </w:trPr>
        <w:tc>
          <w:p>
            <w:pPr>
              <w:pStyle w:val="4"/>
              <w:pageBreakBefore/>
            </w:pPr>
            <w:bookmarkStart w:id="6" w:name="JR_PAGE_ANCHOR_0_7"/>
            <w:bookmarkEnd w:id="6"/>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26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兴业银行添利3号净值型理财产品2022年第一季度报告</w:t>
            </w:r>
          </w:p>
        </w:tc>
        <w:tc>
          <w:tcPr>
            <w:gridSpan w:val="4"/>
          </w:tcPr>
          <w:p>
            <w:pPr>
              <w:pStyle w:val="4"/>
            </w:pPr>
          </w:p>
        </w:tc>
        <w:tc>
          <w:p>
            <w:pPr>
              <w:pStyle w:val="4"/>
            </w:pPr>
          </w:p>
        </w:tc>
      </w:tr>
      <w:tr>
        <w:tblPrEx>
          <w:tblCellMar>
            <w:top w:w="0" w:type="dxa"/>
            <w:left w:w="10" w:type="dxa"/>
            <w:bottom w:w="0" w:type="dxa"/>
            <w:right w:w="10" w:type="dxa"/>
          </w:tblCellMar>
        </w:tblPrEx>
        <w:trPr>
          <w:gridAfter w:val="4"/>
          <w:wAfter w:w="260" w:type="dxa"/>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26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260" w:type="dxa"/>
          <w:trHeight w:val="600" w:hRule="atLeast"/>
        </w:trPr>
        <w:tc>
          <w:p>
            <w:pPr>
              <w:pStyle w:val="4"/>
            </w:pPr>
          </w:p>
        </w:tc>
        <w:tc>
          <w:tcPr>
            <w:gridSpan w:val="2"/>
          </w:tcPr>
          <w:p>
            <w:pPr>
              <w:pStyle w:val="4"/>
            </w:pPr>
          </w:p>
        </w:tc>
        <w:tc>
          <w:tcPr>
            <w:gridSpan w:val="17"/>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gridAfter w:val="4"/>
          <w:wAfter w:w="260" w:type="dxa"/>
          <w:trHeight w:val="6640" w:hRule="exact"/>
        </w:trPr>
        <w:tc>
          <w:p>
            <w:pPr>
              <w:pStyle w:val="4"/>
            </w:pPr>
          </w:p>
        </w:tc>
        <w:tc>
          <w:tcPr>
            <w:gridSpan w:val="2"/>
          </w:tcPr>
          <w:p>
            <w:pPr>
              <w:pStyle w:val="4"/>
            </w:pPr>
          </w:p>
        </w:tc>
        <w:tc>
          <w:tcPr>
            <w:gridSpan w:val="17"/>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工商银行杭州分行定期存款20220228001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7.96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中国工商银行定期存款20220222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7.96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新华资产-明鑫一号资产管理产品</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1,067,745,779.54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2.83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22CSFD09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上海银行大额存单20190929-05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上海银行大额存单20190929-07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上海银行大额存单20190929-06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21长沙银行CD248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984,227,501.75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2.61</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中国银行大额存单20200508001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900,000,000.00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2.39</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中国工商银行股份有限公司杭州分行定期存款20211105001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800,000,000.00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2.12</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260" w:type="dxa"/>
          <w:trHeight w:val="3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260" w:type="dxa"/>
          <w:trHeight w:val="600" w:hRule="atLeast"/>
        </w:trPr>
        <w:tc>
          <w:p>
            <w:pPr>
              <w:pStyle w:val="4"/>
            </w:pPr>
          </w:p>
        </w:tc>
        <w:tc>
          <w:tcPr>
            <w:gridSpan w:val="15"/>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4"/>
          </w:tcPr>
          <w:p>
            <w:pPr>
              <w:pStyle w:val="4"/>
            </w:pPr>
          </w:p>
        </w:tc>
        <w:tc>
          <w:p>
            <w:pPr>
              <w:pStyle w:val="4"/>
            </w:pPr>
          </w:p>
        </w:tc>
      </w:tr>
      <w:tr>
        <w:tblPrEx>
          <w:tblCellMar>
            <w:top w:w="0" w:type="dxa"/>
            <w:left w:w="10" w:type="dxa"/>
            <w:bottom w:w="0" w:type="dxa"/>
            <w:right w:w="10" w:type="dxa"/>
          </w:tblCellMar>
        </w:tblPrEx>
        <w:trPr>
          <w:gridAfter w:val="4"/>
          <w:wAfter w:w="260" w:type="dxa"/>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4"/>
          </w:tcPr>
          <w:p>
            <w:pPr>
              <w:pStyle w:val="4"/>
            </w:pPr>
          </w:p>
        </w:tc>
        <w:tc>
          <w:p>
            <w:pPr>
              <w:pStyle w:val="4"/>
            </w:pPr>
          </w:p>
        </w:tc>
      </w:tr>
      <w:tr>
        <w:tblPrEx>
          <w:tblCellMar>
            <w:top w:w="0" w:type="dxa"/>
            <w:left w:w="10" w:type="dxa"/>
            <w:bottom w:w="0" w:type="dxa"/>
            <w:right w:w="10" w:type="dxa"/>
          </w:tblCellMar>
        </w:tblPrEx>
        <w:trPr>
          <w:gridAfter w:val="4"/>
          <w:wAfter w:w="260" w:type="dxa"/>
          <w:trHeight w:val="60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19巨石GN001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19重汽MTN002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20国联MTN001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20国联MTN002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20金地MTN004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20汇金MTN009A</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19厦门银行01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22乌经开CP001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14宿产发MTN001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260" w:type="dxa"/>
          <w:trHeight w:val="2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260" w:type="dxa"/>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10</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0" w:hRule="atLeast"/>
        </w:trPr>
        <w:tc>
          <w:p>
            <w:pPr>
              <w:pStyle w:val="4"/>
              <w:pageBreakBefore/>
            </w:pPr>
            <w:bookmarkStart w:id="7" w:name="JR_PAGE_ANCHOR_0_8"/>
            <w:bookmarkEnd w:id="7"/>
          </w:p>
        </w:tc>
        <w:tc>
          <w:tcPr>
            <w:gridSpan w:val="6"/>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兴业银行添利3号净值型理财产品2022年第一季度报告</w:t>
            </w:r>
          </w:p>
        </w:tc>
        <w:tc>
          <w:p>
            <w:pPr>
              <w:pStyle w:val="4"/>
            </w:pPr>
          </w:p>
        </w:tc>
      </w:tr>
      <w:tr>
        <w:tblPrEx>
          <w:tblCellMar>
            <w:top w:w="0" w:type="dxa"/>
            <w:left w:w="10" w:type="dxa"/>
            <w:bottom w:w="0" w:type="dxa"/>
            <w:right w:w="10" w:type="dxa"/>
          </w:tblCellMar>
        </w:tblPrEx>
        <w:trPr>
          <w:gridAfter w:val="8"/>
          <w:wAfter w:w="300" w:type="dxa"/>
          <w:trHeight w:val="2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8"/>
          <w:wAfter w:w="300" w:type="dxa"/>
          <w:trHeight w:val="144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17陕煤化MTN004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18九龙江MTN001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18九龙江MTN003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25,000,000.00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19鲁黄金MTN008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20南浦口PPN003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20常高新PPN001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20杭金投MTN003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20湖交投MTN002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20百联集MTN001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20鄂长投MTN001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160,000,000.00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20鄂长投MTN003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20鲁能源MTN003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21中化股MTN001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21常高新PPN002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21杭金投SCP006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21闽漳龙SCP005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22杭实投SCP001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22杭金投SCP001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19川能投MTN004A</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16龙城投资MTN001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17徐新国资MTN002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17滁州城投MTN002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17越秀集团MTN001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18福建漳州MTN001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8"/>
          <w:wAfter w:w="300" w:type="dxa"/>
          <w:trHeight w:val="40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8/</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10</w:t>
            </w: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0" w:hRule="atLeast"/>
        </w:trPr>
        <w:tc>
          <w:p>
            <w:pPr>
              <w:pStyle w:val="4"/>
              <w:pageBreakBefore/>
            </w:pPr>
            <w:bookmarkStart w:id="8" w:name="JR_PAGE_ANCHOR_0_9"/>
            <w:bookmarkEnd w:id="8"/>
          </w:p>
        </w:tc>
        <w:tc>
          <w:tcPr>
            <w:gridSpan w:val="6"/>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兴业银行添利3号净值型理财产品2022年第一季度报告</w:t>
            </w:r>
          </w:p>
        </w:tc>
        <w:tc>
          <w:p>
            <w:pPr>
              <w:pStyle w:val="4"/>
            </w:pPr>
          </w:p>
        </w:tc>
      </w:tr>
      <w:tr>
        <w:tblPrEx>
          <w:tblCellMar>
            <w:top w:w="0" w:type="dxa"/>
            <w:left w:w="10" w:type="dxa"/>
            <w:bottom w:w="0" w:type="dxa"/>
            <w:right w:w="10" w:type="dxa"/>
          </w:tblCellMar>
        </w:tblPrEx>
        <w:trPr>
          <w:gridAfter w:val="8"/>
          <w:wAfter w:w="300" w:type="dxa"/>
          <w:trHeight w:val="2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8"/>
          <w:wAfter w:w="300" w:type="dxa"/>
          <w:trHeight w:val="144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18福建漳州MTN002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18越秀金融MTN002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19市北高新PPN001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19建安投资MTN003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20东南国资MTN001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20中交城投MTN001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20南通城建MTN002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20泉州城建MTN001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20紫金矿业MTN003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20芙蓉城投MTN001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20镇江城建MTN004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20静安投资MTN001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21嘉兴现代SCP002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21武汉城建SCP005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21泉州城建MTN001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21海宁城投MTN002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21湖南轨道MTN001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21芜湖宜居MTN001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21静安投资MTN001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22嘉兴城投SCP001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22徐州交通SCP001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22相城城建SCP001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22青岛地铁SCP001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140,000,000.00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18华润置地MTN002B</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8"/>
          <w:wAfter w:w="300" w:type="dxa"/>
          <w:trHeight w:val="400" w:hRule="exact"/>
        </w:trPr>
        <w:tc>
          <w:p>
            <w:pPr>
              <w:pStyle w:val="4"/>
            </w:pPr>
          </w:p>
        </w:tc>
        <w:tc>
          <w:tcPr>
            <w:gridSpan w:val="6"/>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8"/>
          <w:wAfter w:w="300" w:type="dxa"/>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9/</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10</w:t>
            </w: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9" w:name="JR_PAGE_ANCHOR_0_10"/>
            <w:bookmarkEnd w:id="9"/>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兴业银行添利3号净值型理财产品2022年第一季度报告</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3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19象屿ABN001优先A</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239,541,190.75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19兴业消费金融债01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兴业消费金融股份公司、兴业银行股份有限公司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19东方债02BC(品种一)</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21一方绿城ABN005优先</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19中国华融债01(品种一)</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90318012</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20东湖高新(疫情防控债)PPN001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17"/>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tcPr>
            <w:gridSpan w:val="4"/>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051010100100803960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兴业理财托管专户添利3号净值型理财产品</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3"/>
            <w:tcMar>
              <w:top w:w="0" w:type="dxa"/>
              <w:left w:w="0" w:type="dxa"/>
              <w:bottom w:w="0" w:type="dxa"/>
              <w:right w:w="0" w:type="dxa"/>
            </w:tcMar>
            <w:vAlign w:val="center"/>
          </w:tcPr>
          <w:p>
            <w:pPr>
              <w:jc w:val="left"/>
            </w:pPr>
            <w:r>
              <w:rPr>
                <w:rFonts w:ascii="宋体" w:hAnsi="宋体" w:eastAsia="宋体" w:cs="宋体"/>
                <w:b/>
                <w:color w:val="000000"/>
                <w:sz w:val="21"/>
              </w:rPr>
              <w:t>7.影响理财份额投资人决策的其他重要信息</w:t>
            </w: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3"/>
            <w:tcMar>
              <w:top w:w="0" w:type="dxa"/>
              <w:left w:w="0" w:type="dxa"/>
              <w:bottom w:w="0" w:type="dxa"/>
              <w:right w:w="0" w:type="dxa"/>
            </w:tcMar>
            <w:vAlign w:val="center"/>
          </w:tcPr>
          <w:p>
            <w:pPr>
              <w:jc w:val="left"/>
            </w:pPr>
            <w:r>
              <w:rPr>
                <w:rFonts w:ascii="宋体" w:hAnsi="宋体" w:eastAsia="宋体" w:cs="宋体"/>
                <w:color w:val="000000"/>
                <w:sz w:val="20"/>
              </w:rPr>
              <w:t xml:space="preserve"> 7.1报告期内单一投资者持有产品份额达到或者超过该产品总份额20%的情形</w:t>
            </w: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23"/>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1000"/>
            </w:tblGrid>
            <w:tr>
              <w:tblPrEx>
                <w:tblCellMar>
                  <w:top w:w="0" w:type="dxa"/>
                  <w:left w:w="10" w:type="dxa"/>
                  <w:bottom w:w="0" w:type="dxa"/>
                  <w:right w:w="10" w:type="dxa"/>
                </w:tblCellMar>
              </w:tblPrEx>
              <w:trPr>
                <w:trHeight w:val="600" w:hRule="exact"/>
              </w:trPr>
              <w:tc>
                <w:tcPr>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1000"/>
                  </w:tblGrid>
                  <w:tr>
                    <w:trPr>
                      <w:trHeight w:val="600" w:hRule="atLeast"/>
                    </w:trPr>
                    <w:tc>
                      <w:tcPr>
                        <w:tcMar>
                          <w:top w:w="0" w:type="dxa"/>
                          <w:left w:w="0" w:type="dxa"/>
                          <w:bottom w:w="0" w:type="dxa"/>
                          <w:right w:w="0" w:type="dxa"/>
                        </w:tcMar>
                        <w:vAlign w:val="center"/>
                      </w:tcPr>
                      <w:p>
                        <w:pPr>
                          <w:jc w:val="left"/>
                        </w:pPr>
                        <w:r>
                          <w:rPr>
                            <w:rFonts w:ascii="宋体" w:hAnsi="宋体" w:eastAsia="宋体" w:cs="宋体"/>
                            <w:color w:val="000000"/>
                            <w:sz w:val="21"/>
                          </w:rPr>
                          <w:t xml:space="preserve">    本产品本报告期无单一投资者持有产品份额达到或者超过该产品总份额20%的情形。</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8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top"/>
          </w:tcPr>
          <w:p>
            <w:pPr>
              <w:jc w:val="right"/>
            </w:pPr>
            <w:r>
              <w:rPr>
                <w:rFonts w:ascii="宋体" w:hAnsi="宋体" w:eastAsia="宋体" w:cs="宋体"/>
                <w:color w:val="000000"/>
                <w:sz w:val="21"/>
              </w:rPr>
              <w:t>2022年4月22日</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28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10/</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10</w:t>
            </w:r>
          </w:p>
        </w:tc>
        <w:tc>
          <w:tcPr>
            <w:gridSpan w:val="4"/>
          </w:tcPr>
          <w:p>
            <w:pPr>
              <w:pStyle w:val="4"/>
            </w:pPr>
          </w:p>
        </w:tc>
        <w:tc>
          <w:tcPr>
            <w:gridSpan w:val="4"/>
          </w:tcPr>
          <w:p>
            <w:pPr>
              <w:pStyle w:val="4"/>
            </w:pPr>
          </w:p>
        </w:tc>
        <w:tc>
          <w:tcPr>
            <w:gridSpan w:val="4"/>
          </w:tcPr>
          <w:p>
            <w:pPr>
              <w:pStyle w:val="4"/>
            </w:pPr>
          </w:p>
        </w:tc>
        <w:tc>
          <w:p>
            <w:pPr>
              <w:pStyle w:val="4"/>
            </w:pPr>
          </w:p>
        </w:tc>
      </w:tr>
    </w:tbl>
    <w:p/>
    <w:sectPr>
      <w:pgSz w:w="11900" w:h="16840"/>
      <w:pgMar w:top="600" w:right="300" w:bottom="240" w:left="600" w:header="0" w:footer="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800"/>
  <w:compat>
    <w:useFELayout/>
    <w:splitPgBreakAndParaMark/>
    <w:compatSetting w:name="compatibilityMode" w:uri="http://schemas.microsoft.com/office/word" w:val="12"/>
  </w:compat>
  <w:rsids>
    <w:rsidRoot w:val="00000000"/>
    <w:rsid w:val="3998454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TD"/>
    <w:qFormat/>
    <w:uiPriority w:val="0"/>
    <w:pPr>
      <w:spacing w:line="240" w:lineRule="auto"/>
    </w:pPr>
    <w:rPr>
      <w:rFonts w:ascii="SansSerif" w:hAnsi="SansSerif" w:eastAsia="SansSerif" w:cs="SansSerif"/>
      <w:color w:val="000000"/>
      <w:sz w:val="20"/>
      <w:szCs w:val="22"/>
    </w:rPr>
  </w:style>
  <w:style w:type="paragraph" w:customStyle="1" w:styleId="7">
    <w:name w:val="Table_CH"/>
    <w:qFormat/>
    <w:uiPriority w:val="0"/>
    <w:pPr>
      <w:spacing w:line="240" w:lineRule="auto"/>
    </w:pPr>
    <w:rPr>
      <w:rFonts w:ascii="SansSerif" w:hAnsi="SansSerif" w:eastAsia="SansSerif" w:cs="SansSerif"/>
      <w:color w:val="000000"/>
      <w:sz w:val="20"/>
      <w:szCs w:val="22"/>
    </w:rPr>
  </w:style>
  <w:style w:type="paragraph" w:customStyle="1" w:styleId="8">
    <w:name w:val="Table 1_TH"/>
    <w:qFormat/>
    <w:uiPriority w:val="0"/>
    <w:pPr>
      <w:spacing w:line="240" w:lineRule="auto"/>
    </w:pPr>
    <w:rPr>
      <w:rFonts w:ascii="SansSerif" w:hAnsi="SansSerif" w:eastAsia="SansSerif" w:cs="SansSerif"/>
      <w:color w:val="000000"/>
      <w:sz w:val="20"/>
      <w:szCs w:val="22"/>
    </w:rPr>
  </w:style>
  <w:style w:type="paragraph" w:customStyle="1" w:styleId="9">
    <w:name w:val="Table 1_CH"/>
    <w:qFormat/>
    <w:uiPriority w:val="0"/>
    <w:pPr>
      <w:spacing w:line="240" w:lineRule="auto"/>
    </w:pPr>
    <w:rPr>
      <w:rFonts w:ascii="SansSerif" w:hAnsi="SansSerif" w:eastAsia="SansSerif" w:cs="SansSerif"/>
      <w:color w:val="000000"/>
      <w:sz w:val="20"/>
      <w:szCs w:val="22"/>
    </w:rPr>
  </w:style>
  <w:style w:type="paragraph" w:customStyle="1" w:styleId="10">
    <w:name w:val="Table 1_TD"/>
    <w:qFormat/>
    <w:uiPriority w:val="0"/>
    <w:pPr>
      <w:spacing w:line="240" w:lineRule="auto"/>
    </w:pPr>
    <w:rPr>
      <w:rFonts w:ascii="SansSerif" w:hAnsi="SansSerif" w:eastAsia="SansSerif" w:cs="SansSerif"/>
      <w:color w:val="000000"/>
      <w:sz w:val="20"/>
      <w:szCs w:val="22"/>
    </w:rPr>
  </w:style>
  <w:style w:type="paragraph" w:customStyle="1" w:styleId="11">
    <w:name w:val="Table 2_TH"/>
    <w:qFormat/>
    <w:uiPriority w:val="0"/>
    <w:pPr>
      <w:spacing w:line="240" w:lineRule="auto"/>
    </w:pPr>
    <w:rPr>
      <w:rFonts w:ascii="SansSerif" w:hAnsi="SansSerif" w:eastAsia="SansSerif" w:cs="SansSerif"/>
      <w:color w:val="000000"/>
      <w:sz w:val="20"/>
      <w:szCs w:val="22"/>
    </w:rPr>
  </w:style>
  <w:style w:type="paragraph" w:customStyle="1" w:styleId="12">
    <w:name w:val="Table 2_CH"/>
    <w:qFormat/>
    <w:uiPriority w:val="0"/>
    <w:pPr>
      <w:spacing w:line="240" w:lineRule="auto"/>
    </w:pPr>
    <w:rPr>
      <w:rFonts w:ascii="SansSerif" w:hAnsi="SansSerif" w:eastAsia="SansSerif" w:cs="SansSerif"/>
      <w:color w:val="000000"/>
      <w:sz w:val="20"/>
      <w:szCs w:val="22"/>
    </w:rPr>
  </w:style>
  <w:style w:type="paragraph" w:customStyle="1" w:styleId="13">
    <w:name w:val="Table 2_TD"/>
    <w:qFormat/>
    <w:uiPriority w:val="0"/>
    <w:pPr>
      <w:spacing w:line="240" w:lineRule="auto"/>
    </w:pPr>
    <w:rPr>
      <w:rFonts w:ascii="SansSerif" w:hAnsi="SansSerif" w:eastAsia="SansSerif" w:cs="SansSerif"/>
      <w:color w:val="000000"/>
      <w:sz w:val="20"/>
      <w:szCs w:val="22"/>
    </w:rPr>
  </w:style>
  <w:style w:type="paragraph" w:customStyle="1" w:styleId="14">
    <w:name w:val="Table_CD"/>
    <w:qFormat/>
    <w:uiPriority w:val="0"/>
    <w:pPr>
      <w:spacing w:line="240" w:lineRule="auto"/>
    </w:pPr>
    <w:rPr>
      <w:rFonts w:ascii="SansSerif" w:hAnsi="SansSerif" w:eastAsia="SansSerif" w:cs="SansSerif"/>
      <w:color w:val="000000"/>
      <w:sz w:val="20"/>
      <w:szCs w:val="22"/>
    </w:rPr>
  </w:style>
  <w:style w:type="paragraph" w:customStyle="1" w:styleId="15">
    <w:name w:val="Table 3_TH"/>
    <w:qFormat/>
    <w:uiPriority w:val="0"/>
    <w:pPr>
      <w:spacing w:line="240" w:lineRule="auto"/>
    </w:pPr>
    <w:rPr>
      <w:rFonts w:ascii="SansSerif" w:hAnsi="SansSerif" w:eastAsia="SansSerif" w:cs="SansSerif"/>
      <w:color w:val="000000"/>
      <w:sz w:val="20"/>
      <w:szCs w:val="22"/>
    </w:rPr>
  </w:style>
  <w:style w:type="paragraph" w:customStyle="1" w:styleId="16">
    <w:name w:val="Table 3_CH"/>
    <w:qFormat/>
    <w:uiPriority w:val="0"/>
    <w:pPr>
      <w:spacing w:line="240" w:lineRule="auto"/>
    </w:pPr>
    <w:rPr>
      <w:rFonts w:ascii="SansSerif" w:hAnsi="SansSerif" w:eastAsia="SansSerif" w:cs="SansSerif"/>
      <w:color w:val="000000"/>
      <w:sz w:val="20"/>
      <w:szCs w:val="22"/>
    </w:rPr>
  </w:style>
  <w:style w:type="paragraph" w:customStyle="1" w:styleId="17">
    <w:name w:val="Table 3_TD"/>
    <w:qFormat/>
    <w:uiPriority w:val="0"/>
    <w:pPr>
      <w:spacing w:line="240" w:lineRule="auto"/>
    </w:pPr>
    <w:rPr>
      <w:rFonts w:ascii="SansSerif" w:hAnsi="SansSerif" w:eastAsia="SansSerif" w:cs="SansSerif"/>
      <w:color w:val="000000"/>
      <w:sz w:val="20"/>
      <w:szCs w:val="22"/>
    </w:rPr>
  </w:style>
  <w:style w:type="paragraph" w:customStyle="1" w:styleId="18">
    <w:name w:val="Table 4_TH"/>
    <w:qFormat/>
    <w:uiPriority w:val="0"/>
    <w:pPr>
      <w:spacing w:line="240" w:lineRule="auto"/>
    </w:pPr>
    <w:rPr>
      <w:rFonts w:ascii="SansSerif" w:hAnsi="SansSerif" w:eastAsia="SansSerif" w:cs="SansSerif"/>
      <w:color w:val="000000"/>
      <w:sz w:val="20"/>
      <w:szCs w:val="22"/>
    </w:rPr>
  </w:style>
  <w:style w:type="paragraph" w:customStyle="1" w:styleId="19">
    <w:name w:val="Table 4_CH"/>
    <w:qFormat/>
    <w:uiPriority w:val="0"/>
    <w:pPr>
      <w:spacing w:line="240" w:lineRule="auto"/>
    </w:pPr>
    <w:rPr>
      <w:rFonts w:ascii="SansSerif" w:hAnsi="SansSerif" w:eastAsia="SansSerif" w:cs="SansSerif"/>
      <w:color w:val="000000"/>
      <w:sz w:val="20"/>
      <w:szCs w:val="22"/>
    </w:rPr>
  </w:style>
  <w:style w:type="paragraph" w:customStyle="1" w:styleId="20">
    <w:name w:val="Table 4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11</Pages>
  <Words>4725</Words>
  <Characters>7562</Characters>
  <TotalTime>2</TotalTime>
  <ScaleCrop>false</ScaleCrop>
  <LinksUpToDate>false</LinksUpToDate>
  <CharactersWithSpaces>7702</CharactersWithSpaces>
  <Application>WPS Office_11.1.0.11636_F1E327BC-269C-435d-A152-05C5408002CA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2022-04-18T10:18:47Z</dcterms:created>
  <dc:creator>Administrator</dc:creator>
  <cp:lastModifiedBy>Administrator</cp:lastModifiedBy>
  <dcterms:modified xsi:type="dcterms:W3CDTF">2022-04-18T10:21:09Z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mondata">
    <vt:lpwstr>eyJoZGlkIjoiYzhlZjE2NzA4YjlmNzdkZWI0ZGJiOTI3NDc0M2Q1NDYifQ==</vt:lpwstr>
  </property>
  <property fmtid="{D5CDD505-2E9C-101B-9397-08002B2CF9AE}" pid="3" name="KSOProductBuildVer">
    <vt:lpwstr>2052-11.1.0.11636</vt:lpwstr>
  </property>
  <property fmtid="{D5CDD505-2E9C-101B-9397-08002B2CF9AE}" pid="4" name="ICV">
    <vt:lpwstr>4C2D56462DC74B249F826A3751EAFB34</vt:lpwstr>
  </property>
</Properties>
</file>