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02"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兴业银行现金宝（3号）人民币理财产品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兴业银行现金宝（3号）人民币理财产品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90612011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C1030912000647</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27,438,845,788.61份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报告期内，90612011七日年化收益率均值2.8342%。同期业绩比较基准如下：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0.7492</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2.7010%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27,438,845,788.61</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4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w:t>
            </w:r>
            <w:r>
              <w:rPr>
                <w:rFonts w:ascii="宋体" w:hAnsi="宋体" w:eastAsia="宋体" w:cs="宋体"/>
                <w:color w:val="000000"/>
                <w:sz w:val="21"/>
              </w:rPr>
              <w:br w:type="textWrapping"/>
            </w:r>
            <w:r>
              <w:rPr>
                <w:rFonts w:ascii="宋体" w:hAnsi="宋体" w:eastAsia="宋体" w:cs="宋体"/>
                <w:color w:val="000000"/>
                <w:sz w:val="21"/>
              </w:rPr>
              <w:t xml:space="preserve">    报告期内，本产品规模平稳增加至近300亿，根据我们对市场的预判一季度收益率大概率震荡走势，在收益率回升期积极把握市场高点的买入机会，通过拉长久期、选择性价比较高的高等级信用债和同业信用类资产，较好地</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抓</w:t>
            </w:r>
            <w:bookmarkStart w:id="9" w:name="_GoBack"/>
            <w:bookmarkEnd w:id="9"/>
            <w:r>
              <w:rPr>
                <w:rFonts w:ascii="宋体" w:hAnsi="宋体" w:eastAsia="宋体" w:cs="宋体"/>
                <w:color w:val="000000"/>
                <w:sz w:val="21"/>
              </w:rPr>
              <w:t>住了资产配置的时间窗口，保证了产品组合收益率的市场竞争力。现金宝3号整体收益率保持在2.8%左右，杠杆率不高，资产结构稳健。</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tab/>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r>
            <w:r>
              <w:rPr>
                <w:rFonts w:ascii="宋体" w:hAnsi="宋体" w:eastAsia="宋体" w:cs="宋体"/>
                <w:color w:val="000000"/>
                <w:sz w:val="21"/>
              </w:rPr>
              <w:br w:type="textWrapping"/>
            </w:r>
            <w:r>
              <w:rPr>
                <w:rFonts w:ascii="宋体" w:hAnsi="宋体" w:eastAsia="宋体" w:cs="宋体"/>
                <w:color w:val="000000"/>
                <w:sz w:val="21"/>
              </w:rP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9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981,412,850.06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981,273,554.58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980,987,109.90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19国开03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555,753,365.68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500,003,879.02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488,084,443.11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19蒙牛MTN001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19首钢MTN002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22夏商SCP003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18北控集MTN002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18晋焦煤MTN005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19外高桥MTN002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19湘高速MTN002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21湖交投SCP002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21皖投集MTN002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22万华化学CP006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17江岸国资MTN001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19余姚城投MTN001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21中银投资MTN001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21国新保理SCP002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21广物控股SCP011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22中交城投SCP001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22中交租赁SCP001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22云南冶金SCP001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22青岛地铁SCP001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21国联MTN002(权益出资)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21川高速MTN004(权益出资)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21苏交通MTN003(权益出资)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兴业银行股份有限公司理财产品托管专户（现金宝3号）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8" w:name="JR_PAGE_ANCHOR_0_9"/>
            <w:bookmarkEnd w:id="8"/>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p>
            <w:pPr>
              <w:pStyle w:val="4"/>
            </w:pPr>
          </w:p>
        </w:tc>
      </w:tr>
      <w:tr>
        <w:tblPrEx>
          <w:tblCellMar>
            <w:top w:w="0" w:type="dxa"/>
            <w:left w:w="10" w:type="dxa"/>
            <w:bottom w:w="0" w:type="dxa"/>
            <w:right w:w="10" w:type="dxa"/>
          </w:tblCellMar>
        </w:tblPrEx>
        <w:trPr>
          <w:gridAfter w:val="5"/>
          <w:wAfter w:w="300" w:type="dxa"/>
          <w:trHeight w:val="128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48E91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3931</Words>
  <Characters>5530</Characters>
  <TotalTime>0</TotalTime>
  <ScaleCrop>false</ScaleCrop>
  <LinksUpToDate>false</LinksUpToDate>
  <CharactersWithSpaces>5666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2022-04-18T10:31:15Z</dcterms:created>
  <dc:creator>Administrator</dc:creator>
  <cp:lastModifiedBy>Administrator</cp:lastModifiedBy>
  <dcterms:modified xsi:type="dcterms:W3CDTF">2022-04-18T10:31:47Z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F0EBC32191EE485E90A9853E2EDC17E9</vt:lpwstr>
  </property>
</Properties>
</file>