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兴业银行金雪球添利快线净值型理财产品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兴业银行金雪球添利快线净值型理财产品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97318011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C1030918A003606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75,287,154,441.47份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报告期内，97318011七日年化收益率均值2.8900%。同期业绩比较基准如下：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0.8469</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3.0970%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75,287,154,441.47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投资经理。</w:t>
              <w:br/>
              <w:t xml:space="preserve">    李刚刚先生，清华大学工学学士、硕士，具有银行间本币市场交易员资格。2020年加入兴银理财从事理财产品投资组合管理工作，协助管理总规模逾千亿，善于大资金的资产配置和流动性管理。现担任“兴业银行现金宝-添利1号净值型理财产品”、“兴业银行金雪球添利快线净值型理财产品”、“兴银理财添利8号净值型理财产品”和“兴银理财日日新1号净值型理财产品”投资经理助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2022年第一季度，债券市场收益率先下后上，1月中旬央行下调MLF和逆回购利率10bp，宽货币先行带动十年国债收益率下行至1月下旬低点2.68%，随后1月社融及贷款数据超预期叠加美国通胀加剧，美联储加息预期升温，十年国债收益率触底回升至2.80%中枢波动。2月下旬至3月，市场经历着多空力量的来回拉扯，在权益市场调整诱发广义基金赎回、部分城市首付款比例降低引发宽信用担忧、海外美债收益率上行，以及2月社融增速低于预期、国内疫情多点散发、俄乌冲突带来的地缘政治风险等多重因素影响下，十年国债收益率在2.75%-2.85%区间维持震荡走势。期限利差方面，由于货币政策呈偏松格局，短端收益率反弹有限，长端反弹较大，期限利差普遍走阔。</w:t>
              <w:br/>
              <w:br/>
              <w:t xml:space="preserve">    展望二季度，国内外形势更趋严峻复杂，国内经济“三重压力”背景下稳增长政策的进一步落地和数据验证将成为博弈重点，尤其关注部分省市疫情散点爆发对宽信用的短期扰动和多地房地产政策边际缓和的落地效果。海外方面，美联储加息缩表节奏预期和地缘政治推升海外通胀中枢等因素对国内政策节奏的影响值得关注。鉴于目前宽信用效果欠佳，金稳会表态“货币政策要主动应对”，二季度货币政策维持偏宽松的确定性较大。总体来看，市场对二季度短端维持震荡的预期较为一致，关注基本面、政策面和投资者行为边际变化带来的投资机会。</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t xml:space="preserve">二 前期运作回顾</w:t>
              <w:br/>
              <w:t xml:space="preserve">    报告期内，本产品始终将保持流动性安全和防范信用风险作为第一要务，在此基础上通过稳健的投资风格实现相对稳定的收益。</w:t>
              <w:br/>
              <w:t xml:space="preserve">根据我们对市场的预判，一季度收益率震荡走势中，收益率下行探底期间顶住配置压力买入少量久期较短的资产，在收益率回升期积极把握市场高点的买入机会，通过拉长久期、选择性价比较高的高等级信用债，较好地抓住了资产配置的时间窗口。报告期内，本产品七日年化收益率均值2.89%，长期处于市场同类产品中的领先位置。</w:t>
              <w:br/>
              <w:t xml:space="preserve">    资产品种上仍然维持以利率债、同业存单及高评级信用债为主，同时搭配存放同业、ABS等资产，保证产品流动性安全的同时兼顾组合收益，策略上以票息策略为主，杠杆及交易性策略为辅。由于本产品面向企业客户发行，一季度遇到春节和季度末两个赎回窗口，流动性压力较大时通过正回购和卖出短期限资产，满足了客户的赎回需求。</w:t>
              <w:br/>
              <w:t xml:space="preserve">三 后期投资策略	</w:t>
              <w:br/>
              <w:t xml:space="preserve">    下阶段本产品依然会保持安全性和流动性优先、兼顾收益性的稳健投资策略，深入研究分析债券市场收益率的变化趋势，综合考量各投资品种的风险收益特征，在此基础上制定科学有效的投资策略。</w:t>
              <w:br/>
              <w:t xml:space="preserve">    在具体操作上，关注市场调整机会。从3月发布的宏观数据和中高频数据对比来看，国内的基本面仍存在结构性矛盾，经济复苏有一定阻碍。新一轮国内多地散发疫情的冲击，也给社会经济带来一定的负面影响。随着疫情平复后补偿性增长的释放，叠加稳增长相关政策的发力，债券市场收益率可能会面临调整压力，尤其是宽信用政策带来的信用利差走阔。对于摊余成本估值的现金管理产品，市场利率上行时期是较好的投资窗口期，我们会结合产品实际情况、把握建仓时机，提高产品组合静态收益。</w:t>
              <w:br/>
              <w:t xml:space="preserve">    流动性管理方面，货币政策仍然会保持宽松，产品流动性无忧，资产组合中维持一定的杠杆比例增厚产品收益。半年末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17.78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81.20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存放同业20211124002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1,067,745,779.54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存放同业20210927003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存放同业20210427001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存放同业20211109001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22横店CP001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79,442,000.00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19厦门银行03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21百业源CP001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14宿产发MTN001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17中节能MTN001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18晋焦煤MTN005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18烟台港MTN001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18赣国资MTN002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18鄂联投MTN002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19厦国贸MTN001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19陕延油MTN001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20浦银租赁债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21杭实投SCP004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21杭金投SCP007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21屹腾1优先_bc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105,327,000.00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17南通经开GN002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21乐清国投CP002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21宁波经开CP001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21汇理汽车债02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17宿州城投MTN001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18江北产投MTN002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19中建投租MTN001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19漳州交运MTN001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19西南水泥MTN001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19通商租赁MTN001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19龙城投资MTN001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20南昌城投PPN001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20平安不动MTN002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20张江高科MTN001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20武进经发MTN001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21佛山金融SCP001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21广物控股SCP011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21武汉港航MTN001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21湖南轨道MTN001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21湖州城投SCP006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21福州城投SCP007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21融和融资PPN001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19象屿ABN001优先B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21兴信易ABN002优先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21兴信易ABN003优先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21沣盈2号ABN001优先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21沣盈2号ABN002优先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14,145,500.00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21沣盈2号ABN003优先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26,733,000.00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21远东3号ABN001优先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21兴业租赁绿色债02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20聚盈建发ABN001优先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21万鑫建发ABN004优先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21万鑫建发ABN005优先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21万鑫建发ABN006优先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21前海招泰ABN004优先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12/</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051010100100569000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兴业银行理财托管专户金雪球添利快线净值型理财产品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