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兴业银行天天万利宝稳利6号W款净值型理财产品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兴业银行天天万利宝稳利6号W款净值型理财产品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3,529,572,262.1份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稳利季季增利F款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3,529,572,262.10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产品9K20927A自成立日以来，累计净值增长率为2.1970%，年化累计净值增长率为3.7826%。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3,607,116,683.59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3,607,116,683.59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Z京-同业借款20220310005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Z京-同业借款20220310004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148,393,950.00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110,000,365.00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100,460,900.00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20余杭创新PPN001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60,564,720.00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21鄂交投SCP009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59,995,380.00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19湘投MTN001A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50,313,600.00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19太湖科技MTN001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50,230,050.00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21中关科技CP001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20厦门资管MTN001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21吴中城投SCP016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22九联投资SCP001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22天心城投SCP001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22青岛水务SCP001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Z京-同业借款20220310005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Z京-同业借款20220310004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兴业银行天天万利宝稳利6号W款净值型理财产品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