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兴银理财财智人生灵动1号A款净值型理财产品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兴银理财财智人生灵动1号A款净值型理财产品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772,490,986.71份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产品9K211010自成立日以来，累计净值增长率为8.0410%，年化累计净值增长率为4.8114%。</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1.02527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1.08041</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792,009,836.03</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一季度市场面临更为复杂的内部和外部环境。国内内生需求偏弱，叠加疫情超预期发酵，稳增长预期和压力进一步凸显；海外，美联储确定紧缩叠加俄乌大规模冲突，通胀和地缘风险日趋严重。操作方面，债券维持中性久期操作，适当地通过杠杆获取票息收益；权益方面，二季度经济下滑已成定局，重点关注稳增长的措施以及疫情的影响。稳增长以左侧操作为主，后疫情特别是消费、新能源方面的以右侧为主。权益仓位维持中性，二季度适当通过ETF进行波段操作，逐步对某些板块进行布局。</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22保置2A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22广发银行CD012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49,403,950.00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Z存放同业（线上）20211223001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39,997,656.99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30,894,600.00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29,951,340.00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22焦煤Y1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29,858,760.00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25,798,426.50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兴业期货-财智人生灵动1号单一资产管理计划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24,231,346.76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21,162,040.00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21郴福01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20,441,060.00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21漳州交运PPN003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21紫金矿业MTN001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21铜梁金龙MTN001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22福建旅游MTN001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051010100101068813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兴银理财财智人生灵动1号A款净值型理财产品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