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兴银理财灵动全天候8号净值型理财产品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兴银理财灵动全天候8号净值型理财产品</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9K212058</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Z7002020000196</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511,359,399.43份</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eastAsia="宋体"/>
                <w:lang w:val="en-US" w:eastAsia="zh-CN"/>
              </w:rPr>
            </w:pPr>
            <w:r>
              <w:rPr>
                <w:rFonts w:ascii="宋体" w:hAnsi="宋体" w:eastAsia="宋体" w:cs="宋体"/>
                <w:color w:val="000000"/>
                <w:sz w:val="21"/>
              </w:rPr>
              <w:t>业绩比较基准</w:t>
            </w:r>
            <w:r>
              <w:rPr>
                <w:rFonts w:hint="eastAsia" w:ascii="宋体" w:hAnsi="宋体" w:eastAsia="宋体" w:cs="宋体"/>
                <w:color w:val="000000"/>
                <w:sz w:val="21"/>
                <w:lang w:val="en-US" w:eastAsia="zh-CN"/>
              </w:rPr>
              <w:t>/业绩报酬计提基准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rPr>
                <w:rFonts w:hint="eastAsia" w:eastAsia="宋体"/>
                <w:lang w:val="en-US" w:eastAsia="zh-CN"/>
              </w:rPr>
            </w:pPr>
            <w:r>
              <w:rPr>
                <w:rFonts w:ascii="宋体" w:hAnsi="宋体" w:eastAsia="宋体" w:cs="宋体"/>
                <w:color w:val="000000"/>
                <w:sz w:val="21"/>
              </w:rPr>
              <w:t>3.00%-6.50%</w:t>
            </w:r>
            <w:r>
              <w:rPr>
                <w:rFonts w:hint="eastAsia" w:ascii="宋体" w:hAnsi="宋体" w:eastAsia="宋体" w:cs="宋体"/>
                <w:color w:val="000000"/>
                <w:sz w:val="21"/>
                <w:lang w:val="en-US" w:eastAsia="zh-CN"/>
              </w:rPr>
              <w:t>/业绩比较基准上限</w:t>
            </w:r>
            <w:bookmarkStart w:id="7" w:name="_GoBack"/>
            <w:bookmarkEnd w:id="7"/>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4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灵动8号年年升A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9K212158</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389,498,626.61</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灵动8号年年升B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9K212258</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92,861,182.65</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金雪球灵动8号年年升</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9K212358</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28,999,590.17</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兴银理财灵动全天候8号净值型理财产品2022年第一季度报告</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20" w:type="dxa"/>
          </w:tcPr>
          <w:p>
            <w:pPr>
              <w:pStyle w:val="4"/>
            </w:pPr>
          </w:p>
        </w:tc>
        <w:tc>
          <w:tcPr>
            <w:tcW w:w="20" w:type="dxa"/>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产品9K212158自成立日以来，累计净值增长率为2.3030%，年化累计净值增长率为1.8116%。</w:t>
            </w:r>
            <w:r>
              <w:rPr>
                <w:rFonts w:ascii="宋体" w:hAnsi="宋体" w:eastAsia="宋体" w:cs="宋体"/>
                <w:color w:val="000000"/>
                <w:sz w:val="21"/>
              </w:rPr>
              <w:br w:type="textWrapping"/>
            </w:r>
            <w:r>
              <w:rPr>
                <w:rFonts w:ascii="宋体" w:hAnsi="宋体" w:eastAsia="宋体" w:cs="宋体"/>
                <w:color w:val="000000"/>
                <w:sz w:val="21"/>
              </w:rPr>
              <w:t>产品9K212258自成立日以来，累计净值增长率为2.4840%，年化累计净值增长率为1.9540%。</w:t>
            </w:r>
            <w:r>
              <w:rPr>
                <w:rFonts w:ascii="宋体" w:hAnsi="宋体" w:eastAsia="宋体" w:cs="宋体"/>
                <w:color w:val="000000"/>
                <w:sz w:val="21"/>
              </w:rPr>
              <w:br w:type="textWrapping"/>
            </w:r>
            <w:r>
              <w:rPr>
                <w:rFonts w:ascii="宋体" w:hAnsi="宋体" w:eastAsia="宋体" w:cs="宋体"/>
                <w:color w:val="000000"/>
                <w:sz w:val="21"/>
              </w:rPr>
              <w:t>产品9K212358自成立日以来，累计净值增长率为2.2150%，年化累计净值增长率为1.7424%。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20" w:type="dxa"/>
          </w:tcPr>
          <w:p>
            <w:pPr>
              <w:pStyle w:val="4"/>
            </w:pPr>
          </w:p>
        </w:tc>
        <w:tc>
          <w:tcPr>
            <w:tcW w:w="20" w:type="dxa"/>
          </w:tcPr>
          <w:p>
            <w:pPr>
              <w:pStyle w:val="4"/>
            </w:pPr>
          </w:p>
        </w:tc>
        <w:tc>
          <w:tcPr>
            <w:tcW w:w="10700" w:type="dxa"/>
            <w:gridSpan w:val="16"/>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9K212058</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1.02331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1.02331</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523,280,448.20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400" w:hRule="exact"/>
        </w:trPr>
        <w:tc>
          <w:tcPr>
            <w:tcW w:w="1" w:type="dxa"/>
          </w:tcPr>
          <w:p>
            <w:pPr>
              <w:pStyle w:val="4"/>
            </w:pPr>
          </w:p>
        </w:tc>
        <w:tc>
          <w:tcPr>
            <w:tcW w:w="20" w:type="dxa"/>
          </w:tcPr>
          <w:p>
            <w:pPr>
              <w:pStyle w:val="4"/>
            </w:pPr>
          </w:p>
        </w:tc>
        <w:tc>
          <w:tcPr>
            <w:tcW w:w="20" w:type="dxa"/>
          </w:tcPr>
          <w:p>
            <w:pPr>
              <w:pStyle w:val="4"/>
            </w:pPr>
          </w:p>
        </w:tc>
        <w:tc>
          <w:tcPr>
            <w:tcW w:w="10700" w:type="dxa"/>
            <w:gridSpan w:val="16"/>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9K212158</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1.02303</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1.02303</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398,470,222.55</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9K212258</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1.02484</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1.02484</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95,168,303.05</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9K212358</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1.02215</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1.02215</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29,641,922.60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第一季度市场面临更为复杂的内部和外部环境。国内内生需求偏弱，叠加疫情超预期发酵，稳增长预期和压力进一步凸显；海外，美联储确定紧缩叠加俄乌大规模冲突，通胀和地缘风险日趋严重。操作方面，债券维持中性久期操作，适当地通过杠杆获取票息收益；权益方面，二季度经济下滑已成定局，重点关注稳增长的措施以及疫情的影响。稳增长以左侧操作为主，后疫情特别是消费、新能源方面的以右侧为主。权益仓位维持中性，二季度适当通过ETF进行波段操作，逐步对某些板块进行布局。</w:t>
            </w:r>
            <w:r>
              <w:rPr>
                <w:rFonts w:ascii="宋体" w:hAnsi="宋体" w:eastAsia="宋体" w:cs="宋体"/>
                <w:color w:val="000000"/>
                <w:sz w:val="21"/>
              </w:rPr>
              <w:br w:type="textWrapping"/>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6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4" w:name="JR_PAGE_ANCHOR_0_5"/>
            <w:bookmarkEnd w:id="4"/>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兴银理财灵动全天候8号净值型理财产品2022年第一季度报告</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5.34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27.52</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0.16</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44.80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61.31</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2.21</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6.44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6.48</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2.32</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43.42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20"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3040" w:hRule="exact"/>
        </w:trPr>
        <w:tc>
          <w:tcPr>
            <w:tcW w:w="1" w:type="dxa"/>
          </w:tcPr>
          <w:p>
            <w:pPr>
              <w:pStyle w:val="4"/>
            </w:pPr>
          </w:p>
        </w:tc>
        <w:tc>
          <w:tcPr>
            <w:tcW w:w="20" w:type="dxa"/>
          </w:tcPr>
          <w:p>
            <w:pPr>
              <w:pStyle w:val="4"/>
            </w:pPr>
          </w:p>
        </w:tc>
        <w:tc>
          <w:tcPr>
            <w:tcW w:w="20" w:type="dxa"/>
          </w:tcPr>
          <w:p>
            <w:pPr>
              <w:pStyle w:val="4"/>
            </w:pPr>
          </w:p>
        </w:tc>
        <w:tc>
          <w:tcPr>
            <w:tcW w:w="10700" w:type="dxa"/>
            <w:gridSpan w:val="16"/>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102,919,888.00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19.67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鹏扬泰林1号集合资产管理计划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40,682,275.01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7.77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22长城02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39,770,080.00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7.60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38,403,488.18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7.34</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8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兴银理财灵动全天候8号净值型理财产品2022年第一季度报告</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600" w:hRule="exact"/>
        </w:trPr>
        <w:tc>
          <w:tcPr>
            <w:tcW w:w="1" w:type="dxa"/>
          </w:tcPr>
          <w:p>
            <w:pPr>
              <w:pStyle w:val="4"/>
            </w:pPr>
          </w:p>
        </w:tc>
        <w:tc>
          <w:tcPr>
            <w:tcW w:w="40" w:type="dxa"/>
            <w:gridSpan w:val="2"/>
          </w:tcPr>
          <w:p>
            <w:pPr>
              <w:pStyle w:val="4"/>
            </w:pPr>
          </w:p>
        </w:tc>
        <w:tc>
          <w:tcPr>
            <w:tcW w:w="10700" w:type="dxa"/>
            <w:gridSpan w:val="16"/>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29,740,109.74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5.68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19陕有色MTN003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25,457,075.00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4.86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22乌交旅MTN001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20,027,700.00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3.83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兴业期货-兴合3号集合资产管理计划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20,024,792.01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3.83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22青岛海洋MTN001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20,001,120.00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17重汽01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19,999,360.00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9K212058</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18陕煤化MTN004</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9K212058</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19陕有色MTN003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9K212058</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22乌交旅MTN001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9K212058</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22津城建SCP022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9K212058</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20盐城东方MTN001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9K212058</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20青岛国信MTN001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17,000,000.00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9K212058</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22海发集团SCP001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9K212058</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22青岛海洋MTN001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兴银理财灵动全天候8号净值型理财产品2022年第一季度报告</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051010100101128588</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兴银理财灵动全天候8号净值型理财产品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14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3"/>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00BF6C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2022-04-18T07:56:59Z</dcterms:created>
  <dc:creator>016709</dc:creator>
  <cp:lastModifiedBy>吴姗</cp:lastModifiedBy>
  <dcterms:modified xsi:type="dcterms:W3CDTF">2022-04-18T07:58:43Z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