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42" w:type="dxa"/>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Layout w:type="fixed"/>
          <w:tblCellMar>
            <w:top w:w="0" w:type="dxa"/>
            <w:left w:w="10" w:type="dxa"/>
            <w:bottom w:w="0" w:type="dxa"/>
            <w:right w:w="10" w:type="dxa"/>
          </w:tblCellMar>
        </w:tblPrEx>
        <w:trPr>
          <w:gridAfter w:val="3"/>
          <w:wAfter w:w="40" w:type="dxa"/>
          <w:trHeight w:val="0" w:hRule="atLeast"/>
        </w:trPr>
        <w:tc>
          <w:tcPr>
            <w:tcW w:w="1" w:type="dxa"/>
          </w:tcPr>
          <w:p>
            <w:pPr>
              <w:pStyle w:val="4"/>
            </w:pPr>
            <w:bookmarkStart w:id="0" w:name="JR_PAGE_ANCHOR_0_1"/>
            <w:bookmarkEnd w:id="0"/>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兴银理财灵动全天候20号净值型理财产品2022年第一季度报告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96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3020" w:hRule="atLeas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兴银理财灵动全天候20号净值型理财产品</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60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7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00" w:hRule="atLeas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0" w:hRule="atLeast"/>
        </w:trPr>
        <w:tc>
          <w:tcPr>
            <w:tcW w:w="1" w:type="dxa"/>
          </w:tcPr>
          <w:p>
            <w:pPr>
              <w:pStyle w:val="4"/>
              <w:pageBreakBefore/>
            </w:pPr>
            <w:bookmarkStart w:id="1" w:name="JR_PAGE_ANCHOR_0_2"/>
            <w:bookmarkEnd w:id="1"/>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兴银理财灵动全天候20号净值型理财产品2022年第一季度报告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8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2000" w:type="dxa"/>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840" w:hRule="atLeast"/>
        </w:trPr>
        <w:tc>
          <w:tcPr>
            <w:tcW w:w="1" w:type="dxa"/>
          </w:tcPr>
          <w:p>
            <w:pPr>
              <w:pStyle w:val="4"/>
            </w:pPr>
          </w:p>
        </w:tc>
        <w:tc>
          <w:tcPr>
            <w:tcW w:w="100" w:type="dxa"/>
            <w:gridSpan w:val="3"/>
          </w:tcPr>
          <w:p>
            <w:pPr>
              <w:pStyle w:val="4"/>
            </w:pPr>
          </w:p>
        </w:tc>
        <w:tc>
          <w:tcPr>
            <w:tcW w:w="10400" w:type="dxa"/>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08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0" w:hRule="atLeast"/>
        </w:trPr>
        <w:tc>
          <w:tcPr>
            <w:tcW w:w="1" w:type="dxa"/>
          </w:tcPr>
          <w:p>
            <w:pPr>
              <w:pStyle w:val="4"/>
              <w:pageBreakBefore/>
            </w:pPr>
            <w:bookmarkStart w:id="2" w:name="JR_PAGE_ANCHOR_0_3"/>
            <w:bookmarkEnd w:id="2"/>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兴银理财灵动全天候20号净值型理财产品2022年第一季度报告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3080" w:hRule="atLeast"/>
        </w:trPr>
        <w:tc>
          <w:tcPr>
            <w:tcW w:w="1" w:type="dxa"/>
          </w:tcPr>
          <w:p>
            <w:pPr>
              <w:pStyle w:val="4"/>
            </w:pPr>
          </w:p>
        </w:tc>
        <w:tc>
          <w:tcPr>
            <w:tcW w:w="10700" w:type="dxa"/>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兴银理财灵动全天候20号净值型理财产品</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9K212070</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Z7002021000009</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489,083,365.97份</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ascii="宋体" w:hAnsi="宋体" w:eastAsia="宋体" w:cs="宋体"/>
                <w:color w:val="000000"/>
                <w:sz w:val="21"/>
                <w:lang w:val="en-US" w:eastAsia="zh-CN"/>
              </w:rPr>
            </w:pPr>
            <w:r>
              <w:rPr>
                <w:rFonts w:ascii="宋体" w:hAnsi="宋体" w:eastAsia="宋体" w:cs="宋体"/>
                <w:color w:val="000000"/>
                <w:sz w:val="21"/>
              </w:rPr>
              <w:t>业绩比较基准</w:t>
            </w:r>
            <w:r>
              <w:rPr>
                <w:rFonts w:hint="eastAsia" w:ascii="宋体" w:hAnsi="宋体" w:eastAsia="宋体" w:cs="宋体"/>
                <w:color w:val="000000"/>
                <w:sz w:val="21"/>
                <w:lang w:val="en-US" w:eastAsia="zh-CN"/>
              </w:rPr>
              <w:t>/业绩报酬计提基准</w:t>
            </w:r>
          </w:p>
          <w:p>
            <w:pPr>
              <w:rPr>
                <w:rFonts w:hint="eastAsia" w:eastAsia="宋体"/>
                <w:lang w:val="en-US" w:eastAsia="zh-CN"/>
              </w:rPr>
            </w:pP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rPr>
                <w:rFonts w:hint="eastAsia" w:eastAsia="宋体"/>
                <w:lang w:val="en-US" w:eastAsia="zh-CN"/>
              </w:rPr>
            </w:pPr>
            <w:r>
              <w:rPr>
                <w:rFonts w:ascii="宋体" w:hAnsi="宋体" w:eastAsia="宋体" w:cs="宋体"/>
                <w:color w:val="000000"/>
                <w:sz w:val="21"/>
              </w:rPr>
              <w:t>2.00%-6.00%</w:t>
            </w:r>
            <w:r>
              <w:rPr>
                <w:rFonts w:hint="eastAsia" w:ascii="宋体" w:hAnsi="宋体" w:eastAsia="宋体" w:cs="宋体"/>
                <w:color w:val="000000"/>
                <w:sz w:val="21"/>
                <w:lang w:val="en-US" w:eastAsia="zh-CN"/>
              </w:rPr>
              <w:t>/业绩比较基准上限</w:t>
            </w:r>
            <w:bookmarkStart w:id="6" w:name="_GoBack"/>
            <w:bookmarkEnd w:id="6"/>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400" w:hRule="exact"/>
        </w:trPr>
        <w:tc>
          <w:tcPr>
            <w:tcW w:w="1" w:type="dxa"/>
          </w:tcPr>
          <w:p>
            <w:pPr>
              <w:pStyle w:val="4"/>
            </w:pPr>
          </w:p>
        </w:tc>
        <w:tc>
          <w:tcPr>
            <w:tcW w:w="10700" w:type="dxa"/>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3000"/>
              <w:gridCol w:w="3600"/>
              <w:gridCol w:w="4100"/>
            </w:tblGrid>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2980"/>
                    <w:gridCol w:w="20"/>
                  </w:tblGrid>
                  <w:tr>
                    <w:tblPrEx>
                      <w:tblLayout w:type="fixed"/>
                      <w:tblCellMar>
                        <w:top w:w="0" w:type="dxa"/>
                        <w:left w:w="10" w:type="dxa"/>
                        <w:bottom w:w="0" w:type="dxa"/>
                        <w:right w:w="10" w:type="dxa"/>
                      </w:tblCellMar>
                    </w:tblPrEx>
                    <w:trPr>
                      <w:trHeight w:val="580" w:hRule="atLeast"/>
                    </w:trPr>
                    <w:tc>
                      <w:tcPr>
                        <w:tcW w:w="2980" w:type="dxa"/>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tcPr>
                        <w:tcW w:w="20" w:type="dxa"/>
                      </w:tcPr>
                      <w:p>
                        <w:pPr>
                          <w:pStyle w:val="4"/>
                        </w:pP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80" w:hRule="atLeast"/>
                    </w:trPr>
                    <w:tc>
                      <w:tcPr>
                        <w:tcW w:w="3600" w:type="dxa"/>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W w:w="4100" w:type="dxa"/>
                  <w:tcBorders>
                    <w:top w:val="single" w:color="000000" w:sz="2" w:space="0"/>
                    <w:left w:val="single" w:color="000000" w:sz="2" w:space="0"/>
                    <w:bottom w:val="single" w:color="000000" w:sz="2" w:space="0"/>
                  </w:tcBorders>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80" w:hRule="atLeast"/>
                    </w:trPr>
                    <w:tc>
                      <w:tcPr>
                        <w:tcW w:w="4100" w:type="dxa"/>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灵动20号陆陆通A</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9K212170</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380,592,671.39</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灵动20号陆陆通B</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9K212270</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104,511,555.37</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金雪球灵动20号陆陆通</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9K212370</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3,979,139.21</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00" w:hRule="atLeast"/>
        </w:trPr>
        <w:tc>
          <w:tcPr>
            <w:tcW w:w="1" w:type="dxa"/>
          </w:tcPr>
          <w:p>
            <w:pPr>
              <w:pStyle w:val="4"/>
            </w:pPr>
          </w:p>
        </w:tc>
        <w:tc>
          <w:tcPr>
            <w:tcW w:w="3400" w:type="dxa"/>
            <w:gridSpan w:val="6"/>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3" w:name="JR_PAGE_ANCHOR_0_4"/>
            <w:bookmarkEnd w:id="3"/>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兴银理财灵动全天候20号净值型理财产品2022年第一季度报告</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40" w:hRule="atLeast"/>
        </w:trPr>
        <w:tc>
          <w:tcPr>
            <w:tcW w:w="1" w:type="dxa"/>
          </w:tcPr>
          <w:p>
            <w:pPr>
              <w:pStyle w:val="4"/>
            </w:pPr>
          </w:p>
        </w:tc>
        <w:tc>
          <w:tcPr>
            <w:tcW w:w="40" w:type="dxa"/>
            <w:gridSpan w:val="2"/>
          </w:tcPr>
          <w:p>
            <w:pPr>
              <w:pStyle w:val="4"/>
            </w:pPr>
          </w:p>
        </w:tc>
        <w:tc>
          <w:tcPr>
            <w:tcW w:w="10200" w:type="dxa"/>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产品9K212170自成立日以来，累计净值增长率为3.4430%，年化累计净值增长率为3.1977%。</w:t>
            </w:r>
            <w:r>
              <w:rPr>
                <w:rFonts w:ascii="宋体" w:hAnsi="宋体" w:eastAsia="宋体" w:cs="宋体"/>
                <w:color w:val="000000"/>
                <w:sz w:val="21"/>
              </w:rPr>
              <w:br w:type="textWrapping"/>
            </w:r>
            <w:r>
              <w:rPr>
                <w:rFonts w:ascii="宋体" w:hAnsi="宋体" w:eastAsia="宋体" w:cs="宋体"/>
                <w:color w:val="000000"/>
                <w:sz w:val="21"/>
              </w:rPr>
              <w:t>产品9K212270自成立日以来，累计净值增长率为3.5490%，年化累计净值增长率为3.2961%。</w:t>
            </w:r>
            <w:r>
              <w:rPr>
                <w:rFonts w:ascii="宋体" w:hAnsi="宋体" w:eastAsia="宋体" w:cs="宋体"/>
                <w:color w:val="000000"/>
                <w:sz w:val="21"/>
              </w:rPr>
              <w:br w:type="textWrapping"/>
            </w:r>
            <w:r>
              <w:rPr>
                <w:rFonts w:ascii="宋体" w:hAnsi="宋体" w:eastAsia="宋体" w:cs="宋体"/>
                <w:color w:val="000000"/>
                <w:sz w:val="21"/>
              </w:rPr>
              <w:t>产品9K212370自成立日以来，累计净值增长率为3.4230%，年化累计净值增长率为3.1791%。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tcW w:w="460" w:type="dxa"/>
            <w:gridSpan w:val="2"/>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6"/>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9K212070</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1.03466</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1.03466</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506,032,638.64</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2400" w:hRule="exact"/>
        </w:trPr>
        <w:tc>
          <w:tcPr>
            <w:tcW w:w="1" w:type="dxa"/>
          </w:tcPr>
          <w:p>
            <w:pPr>
              <w:pStyle w:val="4"/>
            </w:pPr>
          </w:p>
        </w:tc>
        <w:tc>
          <w:tcPr>
            <w:tcW w:w="40" w:type="dxa"/>
            <w:gridSpan w:val="2"/>
          </w:tcPr>
          <w:p>
            <w:pPr>
              <w:pStyle w:val="4"/>
            </w:pPr>
          </w:p>
        </w:tc>
        <w:tc>
          <w:tcPr>
            <w:tcW w:w="10700" w:type="dxa"/>
            <w:gridSpan w:val="16"/>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9K212170</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1.03443</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1.03443</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393,696,653.71</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9K212270</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1.03549</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1.03549</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108,220,631.77</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9K212370</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1.03423</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1.03423</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4,115,353.16</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56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4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7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58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第一季度，如我们之前判断，国内内生需求偏弱，海外通胀压力增大，美联储开始收紧货币。但俄乌战争，国内疫情反复，经济刺激政策力度偏低等是我们没有预期到的。市场方面，债市在绝对收益的低位附近震荡，反应市场对基本面的悲观预期及货币政策空间预期不足之间的纠结。权益市场则在大量的内外超预期不利因素打压下出现大幅普跌。本报告期内，本组合根据债券市场期限结构及各利差变化情况，在控制整体久期及信用风险的前提下，积极主动择优配置各类债券类属子资产。</w:t>
            </w:r>
            <w:r>
              <w:rPr>
                <w:rFonts w:ascii="宋体" w:hAnsi="宋体" w:eastAsia="宋体" w:cs="宋体"/>
                <w:color w:val="000000"/>
                <w:sz w:val="21"/>
              </w:rPr>
              <w:br w:type="textWrapping"/>
            </w:r>
            <w:r>
              <w:rPr>
                <w:rFonts w:ascii="宋体" w:hAnsi="宋体" w:eastAsia="宋体" w:cs="宋体"/>
                <w:color w:val="000000"/>
                <w:sz w:val="21"/>
              </w:rPr>
              <w:t xml:space="preserve">    展望二季度，权益市场逐步进入筑底区间，波动可能加大，方向还有待明确。债市则维持之前判断，可能会继续高位震荡，等待经济基本面趋势的确立或货币政策的进一步放松。本组合将继续积极主动管理好大类资产的配置策略并精细化选择类属资产。</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tcW w:w="2840" w:type="dxa"/>
            <w:gridSpan w:val="2"/>
          </w:tcPr>
          <w:p>
            <w:pPr>
              <w:pStyle w:val="4"/>
            </w:pPr>
          </w:p>
        </w:tc>
        <w:tc>
          <w:tcPr>
            <w:tcW w:w="460" w:type="dxa"/>
            <w:gridSpan w:val="2"/>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4" w:name="JR_PAGE_ANCHOR_0_5"/>
            <w:bookmarkEnd w:id="4"/>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兴银理财灵动全天候20号净值型理财产品2022年第一季度报告</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84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3600" w:hRule="exact"/>
        </w:trPr>
        <w:tc>
          <w:tcPr>
            <w:tcW w:w="1" w:type="dxa"/>
          </w:tcPr>
          <w:p>
            <w:pPr>
              <w:pStyle w:val="4"/>
            </w:pPr>
          </w:p>
        </w:tc>
        <w:tc>
          <w:tcPr>
            <w:tcW w:w="20" w:type="dxa"/>
          </w:tcPr>
          <w:p>
            <w:pPr>
              <w:pStyle w:val="4"/>
            </w:pPr>
          </w:p>
        </w:tc>
        <w:tc>
          <w:tcPr>
            <w:tcW w:w="10700" w:type="dxa"/>
            <w:gridSpan w:val="16"/>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600"/>
              <w:gridCol w:w="4000"/>
              <w:gridCol w:w="31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2.66</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55.19</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39.07</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3.08</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0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58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54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20" w:type="dxa"/>
          </w:tcPr>
          <w:p>
            <w:pPr>
              <w:pStyle w:val="4"/>
            </w:pPr>
          </w:p>
        </w:tc>
        <w:tc>
          <w:tcPr>
            <w:tcW w:w="20" w:type="dxa"/>
          </w:tcPr>
          <w:p>
            <w:pPr>
              <w:pStyle w:val="4"/>
            </w:pPr>
          </w:p>
        </w:tc>
        <w:tc>
          <w:tcPr>
            <w:tcW w:w="10700" w:type="dxa"/>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tcW w:w="1" w:type="dxa"/>
          </w:tcPr>
          <w:p>
            <w:pPr>
              <w:pStyle w:val="4"/>
            </w:pPr>
          </w:p>
        </w:tc>
      </w:tr>
      <w:tr>
        <w:tblPrEx>
          <w:tblLayout w:type="fixed"/>
          <w:tblCellMar>
            <w:top w:w="0" w:type="dxa"/>
            <w:left w:w="10" w:type="dxa"/>
            <w:bottom w:w="0" w:type="dxa"/>
            <w:right w:w="10" w:type="dxa"/>
          </w:tblCellMar>
        </w:tblPrEx>
        <w:trPr>
          <w:trHeight w:val="3040" w:hRule="exact"/>
        </w:trPr>
        <w:tc>
          <w:tcPr>
            <w:tcW w:w="1" w:type="dxa"/>
          </w:tcPr>
          <w:p>
            <w:pPr>
              <w:pStyle w:val="4"/>
            </w:pPr>
          </w:p>
        </w:tc>
        <w:tc>
          <w:tcPr>
            <w:tcW w:w="20" w:type="dxa"/>
          </w:tcPr>
          <w:p>
            <w:pPr>
              <w:pStyle w:val="4"/>
            </w:pPr>
          </w:p>
        </w:tc>
        <w:tc>
          <w:tcPr>
            <w:tcW w:w="20" w:type="dxa"/>
          </w:tcPr>
          <w:p>
            <w:pPr>
              <w:pStyle w:val="4"/>
            </w:pPr>
          </w:p>
        </w:tc>
        <w:tc>
          <w:tcPr>
            <w:tcW w:w="10700" w:type="dxa"/>
            <w:gridSpan w:val="16"/>
            <w:tcBorders>
              <w:bottom w:val="single" w:color="000000" w:sz="4"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4000"/>
              <w:gridCol w:w="2600"/>
              <w:gridCol w:w="3100"/>
            </w:tblGrid>
            <w:tr>
              <w:tblPrEx>
                <w:tblLayout w:type="fixed"/>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4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4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4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4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99,912,349.87</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19.74</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70,000,305.00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13.83</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50,000,195.00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9.88</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21贴债59</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49,464,650.00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9.77</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14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5" w:name="JR_PAGE_ANCHOR_0_6"/>
            <w:bookmarkEnd w:id="5"/>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兴银理财灵动全天候20号净值型理财产品2022年第一季度报告</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3600" w:hRule="exact"/>
        </w:trPr>
        <w:tc>
          <w:tcPr>
            <w:tcW w:w="1" w:type="dxa"/>
          </w:tcPr>
          <w:p>
            <w:pPr>
              <w:pStyle w:val="4"/>
            </w:pPr>
          </w:p>
        </w:tc>
        <w:tc>
          <w:tcPr>
            <w:tcW w:w="40" w:type="dxa"/>
            <w:gridSpan w:val="2"/>
          </w:tcPr>
          <w:p>
            <w:pPr>
              <w:pStyle w:val="4"/>
            </w:pPr>
          </w:p>
        </w:tc>
        <w:tc>
          <w:tcPr>
            <w:tcW w:w="10700" w:type="dxa"/>
            <w:gridSpan w:val="16"/>
            <w:tcBorders>
              <w:bottom w:val="single" w:color="000000" w:sz="4"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4000"/>
              <w:gridCol w:w="2600"/>
              <w:gridCol w:w="3100"/>
            </w:tblGrid>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40,000,260.00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7.90</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22京热力SCP001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19,989,680.00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3.95</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18临空投MTN001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10,359,820.00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2.05</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21钟楼新城MTN001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10,300,910.00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2.04</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21成都高新MTN001A</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10,257,200.00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2.03</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18陕西水务MTN001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10,251,450.00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2.03</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3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3000"/>
              <w:gridCol w:w="2800"/>
              <w:gridCol w:w="3100"/>
            </w:tblGrid>
            <w:tr>
              <w:tblPrEx>
                <w:tblLayout w:type="fixed"/>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9K212070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21成都高新MTN001A</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0700" w:type="dxa"/>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6"/>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200"/>
              <w:gridCol w:w="3000"/>
              <w:gridCol w:w="45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2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051010100101169789</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tcMar>
                          <w:top w:w="0" w:type="dxa"/>
                          <w:left w:w="0" w:type="dxa"/>
                          <w:bottom w:w="0" w:type="dxa"/>
                          <w:right w:w="0" w:type="dxa"/>
                        </w:tcMar>
                        <w:vAlign w:val="center"/>
                      </w:tcPr>
                      <w:p>
                        <w:pPr>
                          <w:jc w:val="center"/>
                        </w:pPr>
                        <w:r>
                          <w:rPr>
                            <w:rFonts w:ascii="宋体" w:hAnsi="宋体" w:eastAsia="宋体" w:cs="宋体"/>
                            <w:color w:val="000000"/>
                            <w:sz w:val="21"/>
                          </w:rPr>
                          <w:t>兴银理财灵动全天候20号净值型理财产品</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9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58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tcW w:w="3300" w:type="dxa"/>
            <w:gridSpan w:val="4"/>
          </w:tcPr>
          <w:p>
            <w:pPr>
              <w:pStyle w:val="4"/>
            </w:pPr>
          </w:p>
        </w:tc>
        <w:tc>
          <w:tcPr>
            <w:tcW w:w="40" w:type="dxa"/>
            <w:gridSpan w:val="3"/>
          </w:tcPr>
          <w:p>
            <w:pPr>
              <w:pStyle w:val="4"/>
            </w:pPr>
          </w:p>
        </w:tc>
        <w:tc>
          <w:tcPr>
            <w:tcW w:w="1" w:type="dxa"/>
          </w:tcPr>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800"/>
  <w:displayHorizontalDrawingGridEvery w:val="1"/>
  <w:displayVerticalDrawingGridEvery w:val="1"/>
  <w:noPunctuationKerning w:val="1"/>
  <w:compat>
    <w:doNotExpandShiftReturn/>
    <w:doNotWrapTextWithPunct/>
    <w:doNotUseEastAsianBreakRules/>
    <w:useFELayout/>
    <w:doNotUseIndentAsNumberingTabStop/>
    <w:useAltKinsokuLineBreakRules/>
    <w:splitPgBreakAndParaMark/>
    <w:compatSetting w:name="compatibilityMode" w:uri="http://schemas.microsoft.com/office/word" w:val="12"/>
  </w:compat>
  <w:rsids>
    <w:rsidRoot w:val="00000000"/>
    <w:rsid w:val="39F503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Office_10.8.2.6726_F1E327BC-269C-435d-A152-05C5408002CA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2022-04-18T07:46:02Z</dcterms:created>
  <dc:creator>016709</dc:creator>
  <cp:lastModifiedBy>吴姗</cp:lastModifiedBy>
  <dcterms:modified xsi:type="dcterms:W3CDTF">2022-04-18T07:47:59Z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