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兴银理财和鑫财富优享2021年第10期净值型理财产品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和鑫财富优享2021年第10期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产品9K213A10自成立日以来，累计净值增长率为2.8530%，年化累计净值增长率为4.0052%。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1,028,533,937.79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1,028,533,937.79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999,925,351.00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97.22</w:t>
                        </w:r>
                      </w:p>
                    </w:tc>
                  </w:tr>
                </w:tbl>
                <w:p>
                  <w:pPr>
                    <w:pStyle w:val="EMPTY_CELL_STYLE"/>
                  </w:pPr>
                </w:p>
              </w:tc>
            </w:tr>
          </w:tbl>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兴银理财和鑫财富优享2021年第10期净值型理财产品2022年第一季度报告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051010100101190093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